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6828"/>
      </w:tblGrid>
      <w:tr w:rsidR="00077EE4" w:rsidRPr="00F24C54" w:rsidTr="000B3DA9">
        <w:tc>
          <w:tcPr>
            <w:tcW w:w="2523" w:type="dxa"/>
            <w:shd w:val="clear" w:color="auto" w:fill="auto"/>
          </w:tcPr>
          <w:p w:rsidR="00077EE4" w:rsidRPr="00F24C54" w:rsidRDefault="00077EE4" w:rsidP="00C0681E">
            <w:pPr>
              <w:spacing w:after="0" w:line="240" w:lineRule="auto"/>
              <w:ind w:right="16"/>
              <w:rPr>
                <w:rFonts w:ascii="Arial" w:hAnsi="Arial" w:cs="Arial"/>
                <w:b/>
              </w:rPr>
            </w:pPr>
            <w:r w:rsidRPr="00F24C54">
              <w:rPr>
                <w:rFonts w:ascii="Arial" w:hAnsi="Arial" w:cs="Arial"/>
                <w:b/>
              </w:rPr>
              <w:t>RADICADO</w:t>
            </w:r>
          </w:p>
        </w:tc>
        <w:tc>
          <w:tcPr>
            <w:tcW w:w="6828" w:type="dxa"/>
            <w:shd w:val="clear" w:color="auto" w:fill="auto"/>
          </w:tcPr>
          <w:p w:rsidR="00077EE4" w:rsidRPr="00F24C54" w:rsidRDefault="00077EE4" w:rsidP="00C0681E">
            <w:pPr>
              <w:spacing w:after="0" w:line="240" w:lineRule="auto"/>
              <w:ind w:right="16"/>
              <w:rPr>
                <w:rFonts w:ascii="Arial" w:hAnsi="Arial" w:cs="Arial"/>
              </w:rPr>
            </w:pPr>
          </w:p>
        </w:tc>
      </w:tr>
      <w:tr w:rsidR="00077EE4" w:rsidRPr="00F24C54" w:rsidTr="000B3DA9">
        <w:tc>
          <w:tcPr>
            <w:tcW w:w="2523" w:type="dxa"/>
            <w:shd w:val="clear" w:color="auto" w:fill="auto"/>
          </w:tcPr>
          <w:p w:rsidR="00077EE4" w:rsidRPr="00F24C54" w:rsidRDefault="00077EE4" w:rsidP="00C0681E">
            <w:pPr>
              <w:spacing w:after="0" w:line="240" w:lineRule="auto"/>
              <w:ind w:right="16"/>
              <w:rPr>
                <w:rFonts w:ascii="Arial" w:hAnsi="Arial" w:cs="Arial"/>
                <w:b/>
              </w:rPr>
            </w:pPr>
            <w:r w:rsidRPr="00F24C54">
              <w:rPr>
                <w:rFonts w:ascii="Arial" w:hAnsi="Arial" w:cs="Arial"/>
                <w:b/>
              </w:rPr>
              <w:t>IMPLICADO</w:t>
            </w:r>
          </w:p>
        </w:tc>
        <w:tc>
          <w:tcPr>
            <w:tcW w:w="6828" w:type="dxa"/>
            <w:shd w:val="clear" w:color="auto" w:fill="auto"/>
          </w:tcPr>
          <w:p w:rsidR="00077EE4" w:rsidRPr="00F24C54" w:rsidRDefault="00077EE4" w:rsidP="00C0681E">
            <w:pPr>
              <w:spacing w:after="0" w:line="240" w:lineRule="auto"/>
              <w:ind w:right="16"/>
              <w:rPr>
                <w:rFonts w:ascii="Arial" w:hAnsi="Arial" w:cs="Arial"/>
              </w:rPr>
            </w:pPr>
          </w:p>
        </w:tc>
      </w:tr>
      <w:tr w:rsidR="00077EE4" w:rsidRPr="00F24C54" w:rsidTr="000B3DA9">
        <w:tc>
          <w:tcPr>
            <w:tcW w:w="2523" w:type="dxa"/>
            <w:shd w:val="clear" w:color="auto" w:fill="auto"/>
          </w:tcPr>
          <w:p w:rsidR="00077EE4" w:rsidRPr="00F24C54" w:rsidRDefault="00077EE4" w:rsidP="00C0681E">
            <w:pPr>
              <w:spacing w:after="0" w:line="240" w:lineRule="auto"/>
              <w:ind w:right="16"/>
              <w:rPr>
                <w:rFonts w:ascii="Arial" w:hAnsi="Arial" w:cs="Arial"/>
                <w:b/>
              </w:rPr>
            </w:pPr>
            <w:r w:rsidRPr="00F24C54">
              <w:rPr>
                <w:rFonts w:ascii="Arial" w:hAnsi="Arial" w:cs="Arial"/>
                <w:b/>
              </w:rPr>
              <w:t>CARGO DESEMPEÑADO</w:t>
            </w:r>
          </w:p>
        </w:tc>
        <w:tc>
          <w:tcPr>
            <w:tcW w:w="6828" w:type="dxa"/>
            <w:shd w:val="clear" w:color="auto" w:fill="auto"/>
          </w:tcPr>
          <w:p w:rsidR="00077EE4" w:rsidRPr="00F24C54" w:rsidRDefault="00077EE4" w:rsidP="00C0681E">
            <w:pPr>
              <w:spacing w:after="0" w:line="240" w:lineRule="auto"/>
              <w:ind w:right="16"/>
              <w:rPr>
                <w:rFonts w:ascii="Arial" w:hAnsi="Arial" w:cs="Arial"/>
              </w:rPr>
            </w:pPr>
          </w:p>
        </w:tc>
      </w:tr>
      <w:tr w:rsidR="00077EE4" w:rsidRPr="00F24C54" w:rsidTr="000B3DA9">
        <w:tc>
          <w:tcPr>
            <w:tcW w:w="2523" w:type="dxa"/>
            <w:shd w:val="clear" w:color="auto" w:fill="auto"/>
          </w:tcPr>
          <w:p w:rsidR="00077EE4" w:rsidRPr="00F24C54" w:rsidRDefault="00077EE4" w:rsidP="00C0681E">
            <w:pPr>
              <w:spacing w:after="0" w:line="240" w:lineRule="auto"/>
              <w:ind w:right="16"/>
              <w:rPr>
                <w:rFonts w:ascii="Arial" w:hAnsi="Arial" w:cs="Arial"/>
                <w:b/>
              </w:rPr>
            </w:pPr>
            <w:r w:rsidRPr="00F24C54">
              <w:rPr>
                <w:rFonts w:ascii="Arial" w:hAnsi="Arial" w:cs="Arial"/>
                <w:b/>
              </w:rPr>
              <w:t>QUEJOSO O INFORMANTE</w:t>
            </w:r>
          </w:p>
        </w:tc>
        <w:tc>
          <w:tcPr>
            <w:tcW w:w="6828" w:type="dxa"/>
            <w:shd w:val="clear" w:color="auto" w:fill="auto"/>
          </w:tcPr>
          <w:p w:rsidR="00077EE4" w:rsidRPr="00F24C54" w:rsidRDefault="00077EE4" w:rsidP="00C0681E">
            <w:pPr>
              <w:spacing w:after="0" w:line="240" w:lineRule="auto"/>
              <w:ind w:right="16"/>
              <w:rPr>
                <w:rFonts w:ascii="Arial" w:hAnsi="Arial" w:cs="Arial"/>
              </w:rPr>
            </w:pPr>
          </w:p>
        </w:tc>
      </w:tr>
      <w:tr w:rsidR="00077EE4" w:rsidRPr="00F24C54" w:rsidTr="000B3DA9">
        <w:tc>
          <w:tcPr>
            <w:tcW w:w="2523" w:type="dxa"/>
            <w:shd w:val="clear" w:color="auto" w:fill="auto"/>
          </w:tcPr>
          <w:p w:rsidR="00077EE4" w:rsidRPr="00F24C54" w:rsidRDefault="00077EE4" w:rsidP="00C0681E">
            <w:pPr>
              <w:spacing w:after="0" w:line="240" w:lineRule="auto"/>
              <w:ind w:right="16"/>
              <w:rPr>
                <w:rFonts w:ascii="Arial" w:hAnsi="Arial" w:cs="Arial"/>
                <w:b/>
              </w:rPr>
            </w:pPr>
            <w:r w:rsidRPr="00F24C54">
              <w:rPr>
                <w:rFonts w:ascii="Arial" w:hAnsi="Arial" w:cs="Arial"/>
                <w:b/>
              </w:rPr>
              <w:t>FECHA DE QUEJA O INFORME</w:t>
            </w:r>
          </w:p>
        </w:tc>
        <w:tc>
          <w:tcPr>
            <w:tcW w:w="6828" w:type="dxa"/>
            <w:shd w:val="clear" w:color="auto" w:fill="auto"/>
          </w:tcPr>
          <w:p w:rsidR="00077EE4" w:rsidRPr="00F24C54" w:rsidRDefault="00077EE4" w:rsidP="00C0681E">
            <w:pPr>
              <w:spacing w:after="0" w:line="240" w:lineRule="auto"/>
              <w:ind w:right="16"/>
              <w:rPr>
                <w:rFonts w:ascii="Arial" w:hAnsi="Arial" w:cs="Arial"/>
              </w:rPr>
            </w:pPr>
          </w:p>
        </w:tc>
      </w:tr>
      <w:tr w:rsidR="00077EE4" w:rsidRPr="00F24C54" w:rsidTr="000B3DA9">
        <w:trPr>
          <w:trHeight w:val="655"/>
        </w:trPr>
        <w:tc>
          <w:tcPr>
            <w:tcW w:w="2523" w:type="dxa"/>
            <w:shd w:val="clear" w:color="auto" w:fill="auto"/>
          </w:tcPr>
          <w:p w:rsidR="00077EE4" w:rsidRPr="00F24C54" w:rsidRDefault="00077EE4" w:rsidP="00C0681E">
            <w:pPr>
              <w:spacing w:after="0" w:line="240" w:lineRule="auto"/>
              <w:ind w:right="16"/>
              <w:rPr>
                <w:rFonts w:ascii="Arial" w:hAnsi="Arial" w:cs="Arial"/>
                <w:b/>
              </w:rPr>
            </w:pPr>
            <w:r w:rsidRPr="00F24C54">
              <w:rPr>
                <w:rFonts w:ascii="Arial" w:hAnsi="Arial" w:cs="Arial"/>
                <w:b/>
              </w:rPr>
              <w:t>FECHA DE LOS HECHOS</w:t>
            </w:r>
          </w:p>
        </w:tc>
        <w:tc>
          <w:tcPr>
            <w:tcW w:w="6828" w:type="dxa"/>
            <w:shd w:val="clear" w:color="auto" w:fill="auto"/>
          </w:tcPr>
          <w:p w:rsidR="00077EE4" w:rsidRPr="00F24C54" w:rsidRDefault="00077EE4" w:rsidP="00C0681E">
            <w:pPr>
              <w:spacing w:after="0" w:line="240" w:lineRule="auto"/>
              <w:ind w:right="16"/>
              <w:rPr>
                <w:rFonts w:ascii="Arial" w:hAnsi="Arial" w:cs="Arial"/>
              </w:rPr>
            </w:pPr>
          </w:p>
        </w:tc>
      </w:tr>
      <w:tr w:rsidR="00077EE4" w:rsidRPr="00F24C54" w:rsidTr="000B3DA9">
        <w:tc>
          <w:tcPr>
            <w:tcW w:w="2523" w:type="dxa"/>
            <w:shd w:val="clear" w:color="auto" w:fill="auto"/>
          </w:tcPr>
          <w:p w:rsidR="00077EE4" w:rsidRPr="00F24C54" w:rsidRDefault="00077EE4" w:rsidP="00C0681E">
            <w:pPr>
              <w:spacing w:after="0" w:line="240" w:lineRule="auto"/>
              <w:ind w:right="16"/>
              <w:rPr>
                <w:rFonts w:ascii="Arial" w:hAnsi="Arial" w:cs="Arial"/>
                <w:b/>
              </w:rPr>
            </w:pPr>
            <w:r w:rsidRPr="00F24C54">
              <w:rPr>
                <w:rFonts w:ascii="Arial" w:hAnsi="Arial" w:cs="Arial"/>
                <w:b/>
              </w:rPr>
              <w:t>ASUNTO</w:t>
            </w:r>
          </w:p>
        </w:tc>
        <w:tc>
          <w:tcPr>
            <w:tcW w:w="6828" w:type="dxa"/>
            <w:shd w:val="clear" w:color="auto" w:fill="auto"/>
          </w:tcPr>
          <w:p w:rsidR="00077EE4" w:rsidRPr="00F24C54" w:rsidRDefault="00077EE4" w:rsidP="00C0681E">
            <w:pPr>
              <w:spacing w:after="0" w:line="240" w:lineRule="auto"/>
              <w:ind w:right="16"/>
              <w:rPr>
                <w:rFonts w:ascii="Arial" w:hAnsi="Arial" w:cs="Arial"/>
              </w:rPr>
            </w:pPr>
            <w:r w:rsidRPr="00F24C54">
              <w:rPr>
                <w:rFonts w:ascii="Arial" w:eastAsia="Batang" w:hAnsi="Arial" w:cs="Arial"/>
                <w:bCs/>
              </w:rPr>
              <w:t>Auto por el cual se resuelve una tacha a testigos y se decretan pruebas</w:t>
            </w:r>
            <w:r>
              <w:rPr>
                <w:rFonts w:ascii="Arial" w:eastAsia="Batang" w:hAnsi="Arial" w:cs="Arial"/>
                <w:bCs/>
              </w:rPr>
              <w:t xml:space="preserve"> solicitadas en descargos (Art. 168 de la Ley 734 de 2002)</w:t>
            </w:r>
            <w:r w:rsidRPr="00F24C54">
              <w:rPr>
                <w:rFonts w:ascii="Arial" w:eastAsia="Batang" w:hAnsi="Arial" w:cs="Arial"/>
                <w:bCs/>
              </w:rPr>
              <w:t xml:space="preserve">. </w:t>
            </w:r>
          </w:p>
        </w:tc>
      </w:tr>
    </w:tbl>
    <w:p w:rsidR="00077EE4" w:rsidRPr="00F24C54" w:rsidRDefault="00077EE4" w:rsidP="00077EE4">
      <w:pPr>
        <w:ind w:right="16"/>
        <w:rPr>
          <w:rFonts w:ascii="Arial" w:hAnsi="Arial" w:cs="Arial"/>
        </w:rPr>
      </w:pPr>
    </w:p>
    <w:p w:rsidR="00077EE4" w:rsidRPr="00F24C54" w:rsidRDefault="00077EE4" w:rsidP="00077EE4">
      <w:pPr>
        <w:ind w:right="16"/>
        <w:jc w:val="center"/>
        <w:rPr>
          <w:rFonts w:ascii="Arial" w:hAnsi="Arial" w:cs="Arial"/>
          <w:b/>
        </w:rPr>
      </w:pPr>
      <w:r w:rsidRPr="00F24C54">
        <w:rPr>
          <w:rFonts w:ascii="Arial" w:hAnsi="Arial" w:cs="Arial"/>
          <w:b/>
        </w:rPr>
        <w:t xml:space="preserve">AUTO N </w:t>
      </w:r>
      <w:r>
        <w:rPr>
          <w:rFonts w:ascii="Arial" w:hAnsi="Arial" w:cs="Arial"/>
          <w:b/>
        </w:rPr>
        <w:t>____ DEL _______</w:t>
      </w:r>
    </w:p>
    <w:p w:rsidR="00077EE4" w:rsidRPr="00F24C54" w:rsidRDefault="00077EE4" w:rsidP="00077EE4">
      <w:pPr>
        <w:widowControl w:val="0"/>
        <w:autoSpaceDE w:val="0"/>
        <w:autoSpaceDN w:val="0"/>
        <w:adjustRightInd w:val="0"/>
        <w:spacing w:after="0" w:line="240" w:lineRule="atLeast"/>
        <w:jc w:val="center"/>
        <w:rPr>
          <w:rFonts w:ascii="Arial" w:eastAsiaTheme="minorEastAsia" w:hAnsi="Arial" w:cs="Arial"/>
          <w:b/>
          <w:bCs/>
          <w:color w:val="000000"/>
        </w:rPr>
      </w:pPr>
      <w:r w:rsidRPr="00F24C54">
        <w:rPr>
          <w:rFonts w:ascii="Arial" w:hAnsi="Arial" w:cs="Arial"/>
          <w:b/>
          <w:bCs/>
          <w:color w:val="000000"/>
        </w:rPr>
        <w:t>ASUNTO POR TRATAR</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sidRPr="00F24C54">
        <w:rPr>
          <w:rFonts w:ascii="Arial" w:hAnsi="Arial" w:cs="Arial"/>
          <w:color w:val="000000"/>
        </w:rPr>
        <w:t xml:space="preserve">Procede el despacho a resolver la tacha contra testigos y a evaluar la solicitud de pruebas presentada por el </w:t>
      </w:r>
      <w:r>
        <w:rPr>
          <w:rFonts w:ascii="Arial" w:hAnsi="Arial" w:cs="Arial"/>
          <w:color w:val="000000"/>
        </w:rPr>
        <w:t>señor____________</w:t>
      </w:r>
      <w:r w:rsidRPr="00F24C54">
        <w:rPr>
          <w:rFonts w:ascii="Arial" w:hAnsi="Arial" w:cs="Arial"/>
          <w:color w:val="000000"/>
        </w:rPr>
        <w:t xml:space="preserve">, en calidad de </w:t>
      </w:r>
      <w:r>
        <w:rPr>
          <w:rFonts w:ascii="Arial" w:hAnsi="Arial" w:cs="Arial"/>
          <w:color w:val="000000"/>
        </w:rPr>
        <w:t>(</w:t>
      </w:r>
      <w:r w:rsidRPr="00F24C54">
        <w:rPr>
          <w:rFonts w:ascii="Arial" w:hAnsi="Arial" w:cs="Arial"/>
          <w:color w:val="000000"/>
        </w:rPr>
        <w:t xml:space="preserve">apoderado </w:t>
      </w:r>
      <w:r>
        <w:rPr>
          <w:rFonts w:ascii="Arial" w:hAnsi="Arial" w:cs="Arial"/>
          <w:color w:val="000000"/>
        </w:rPr>
        <w:t>o</w:t>
      </w:r>
      <w:r w:rsidRPr="00F24C54">
        <w:rPr>
          <w:rFonts w:ascii="Arial" w:hAnsi="Arial" w:cs="Arial"/>
          <w:color w:val="000000"/>
        </w:rPr>
        <w:t xml:space="preserve"> investigado</w:t>
      </w:r>
      <w:r>
        <w:rPr>
          <w:rFonts w:ascii="Arial" w:hAnsi="Arial" w:cs="Arial"/>
          <w:color w:val="000000"/>
        </w:rPr>
        <w:t>)</w:t>
      </w:r>
      <w:r w:rsidRPr="00F24C54">
        <w:rPr>
          <w:rFonts w:ascii="Arial" w:hAnsi="Arial" w:cs="Arial"/>
          <w:color w:val="000000"/>
        </w:rPr>
        <w:t xml:space="preserve"> mediante escrito</w:t>
      </w:r>
      <w:r>
        <w:rPr>
          <w:rFonts w:ascii="Arial" w:hAnsi="Arial" w:cs="Arial"/>
          <w:color w:val="000000"/>
        </w:rPr>
        <w:t xml:space="preserve"> de _____</w:t>
      </w:r>
      <w:r w:rsidRPr="00F24C54">
        <w:rPr>
          <w:rFonts w:ascii="Arial" w:hAnsi="Arial" w:cs="Arial"/>
          <w:color w:val="000000"/>
        </w:rPr>
        <w:t xml:space="preserve"> folios radicado</w:t>
      </w:r>
      <w:r>
        <w:rPr>
          <w:rFonts w:ascii="Arial" w:hAnsi="Arial" w:cs="Arial"/>
          <w:color w:val="000000"/>
        </w:rPr>
        <w:t>s</w:t>
      </w:r>
      <w:r w:rsidRPr="00F24C54">
        <w:rPr>
          <w:rFonts w:ascii="Arial" w:hAnsi="Arial" w:cs="Arial"/>
          <w:color w:val="000000"/>
        </w:rPr>
        <w:t xml:space="preserve">, a la Secretaría General de la Escuela Tecnológica Instituto Técnico Central. </w:t>
      </w:r>
    </w:p>
    <w:p w:rsidR="00077EE4" w:rsidRPr="00F24C54" w:rsidRDefault="00077EE4" w:rsidP="00077EE4">
      <w:pPr>
        <w:spacing w:after="0"/>
        <w:ind w:right="16"/>
        <w:jc w:val="center"/>
        <w:rPr>
          <w:rFonts w:ascii="Arial" w:hAnsi="Arial" w:cs="Arial"/>
          <w:b/>
        </w:rPr>
      </w:pPr>
    </w:p>
    <w:p w:rsidR="00077EE4" w:rsidRPr="00F24C54" w:rsidRDefault="00077EE4" w:rsidP="00077EE4">
      <w:pPr>
        <w:spacing w:after="0"/>
        <w:ind w:right="16"/>
        <w:jc w:val="center"/>
        <w:rPr>
          <w:rFonts w:ascii="Arial" w:hAnsi="Arial" w:cs="Arial"/>
          <w:b/>
        </w:rPr>
      </w:pPr>
      <w:r w:rsidRPr="00F24C54">
        <w:rPr>
          <w:rFonts w:ascii="Arial" w:hAnsi="Arial" w:cs="Arial"/>
          <w:b/>
        </w:rPr>
        <w:t>ANTECEDENTES</w:t>
      </w:r>
    </w:p>
    <w:p w:rsidR="00077EE4" w:rsidRPr="00F24C54" w:rsidRDefault="00077EE4" w:rsidP="00077EE4">
      <w:pPr>
        <w:spacing w:after="0"/>
        <w:ind w:right="16"/>
        <w:jc w:val="center"/>
        <w:rPr>
          <w:rFonts w:ascii="Arial" w:hAnsi="Arial" w:cs="Arial"/>
          <w:b/>
        </w:rPr>
      </w:pPr>
    </w:p>
    <w:p w:rsidR="00077EE4" w:rsidRPr="004309D1" w:rsidRDefault="00077EE4" w:rsidP="00077EE4">
      <w:pPr>
        <w:pStyle w:val="Textoindependiente21"/>
        <w:numPr>
          <w:ilvl w:val="0"/>
          <w:numId w:val="1"/>
        </w:numPr>
        <w:ind w:left="426"/>
        <w:rPr>
          <w:rFonts w:cs="Arial"/>
          <w:i/>
          <w:sz w:val="22"/>
          <w:szCs w:val="22"/>
          <w:lang w:val="es-ES_tradnl"/>
        </w:rPr>
      </w:pPr>
      <w:r w:rsidRPr="004309D1">
        <w:rPr>
          <w:rFonts w:cs="Arial"/>
          <w:i/>
          <w:sz w:val="22"/>
          <w:szCs w:val="22"/>
        </w:rPr>
        <w:t>Identificar los antecedentes procesales más relevantes, ejemplo: fecha de apertura de indagación preliminar, investigación disciplinaria, cierre de etapa de investigación disciplinaria, formulación de pliego, etc.</w:t>
      </w:r>
    </w:p>
    <w:p w:rsidR="00077EE4" w:rsidRPr="00F24C54" w:rsidRDefault="00077EE4" w:rsidP="00077EE4">
      <w:pPr>
        <w:spacing w:after="0"/>
        <w:ind w:left="426" w:right="16"/>
        <w:jc w:val="both"/>
        <w:rPr>
          <w:rFonts w:ascii="Arial" w:hAnsi="Arial" w:cs="Arial"/>
        </w:rPr>
      </w:pPr>
    </w:p>
    <w:p w:rsidR="00077EE4" w:rsidRPr="00F24C54" w:rsidRDefault="00077EE4" w:rsidP="00077EE4">
      <w:pPr>
        <w:spacing w:after="0"/>
        <w:ind w:left="426" w:right="16"/>
        <w:jc w:val="center"/>
        <w:rPr>
          <w:rFonts w:ascii="Arial" w:hAnsi="Arial" w:cs="Arial"/>
          <w:b/>
        </w:rPr>
      </w:pPr>
      <w:r w:rsidRPr="00F24C54">
        <w:rPr>
          <w:rFonts w:ascii="Arial" w:eastAsia="Times New Roman" w:hAnsi="Arial" w:cs="Arial"/>
          <w:b/>
          <w:lang w:eastAsia="es-ES"/>
        </w:rPr>
        <w:t>CONSIDERACIONES</w:t>
      </w:r>
    </w:p>
    <w:p w:rsidR="00077EE4" w:rsidRPr="00F24C54" w:rsidRDefault="00077EE4" w:rsidP="00077EE4">
      <w:pPr>
        <w:widowControl w:val="0"/>
        <w:autoSpaceDE w:val="0"/>
        <w:adjustRightInd w:val="0"/>
        <w:spacing w:after="0"/>
        <w:ind w:right="16"/>
        <w:jc w:val="both"/>
        <w:rPr>
          <w:rFonts w:ascii="Arial" w:hAnsi="Arial" w:cs="Arial"/>
          <w:lang w:val="es-ES_tradnl"/>
        </w:rPr>
      </w:pPr>
    </w:p>
    <w:p w:rsidR="00077EE4" w:rsidRPr="00F24C54" w:rsidRDefault="00077EE4" w:rsidP="00077EE4">
      <w:pPr>
        <w:pStyle w:val="Prrafodelista"/>
        <w:widowControl w:val="0"/>
        <w:numPr>
          <w:ilvl w:val="0"/>
          <w:numId w:val="4"/>
        </w:numPr>
        <w:autoSpaceDE w:val="0"/>
        <w:adjustRightInd w:val="0"/>
        <w:spacing w:after="0"/>
        <w:ind w:left="426" w:right="16"/>
        <w:jc w:val="both"/>
        <w:rPr>
          <w:rFonts w:ascii="Arial" w:hAnsi="Arial" w:cs="Arial"/>
          <w:b/>
          <w:color w:val="000000"/>
        </w:rPr>
      </w:pPr>
      <w:r w:rsidRPr="00F24C54">
        <w:rPr>
          <w:rFonts w:ascii="Arial" w:hAnsi="Arial" w:cs="Arial"/>
          <w:b/>
          <w:color w:val="000000"/>
        </w:rPr>
        <w:t xml:space="preserve">De la tacha de los testigos </w:t>
      </w:r>
    </w:p>
    <w:p w:rsidR="00077EE4" w:rsidRPr="00F24C54" w:rsidRDefault="00077EE4" w:rsidP="00077EE4">
      <w:pPr>
        <w:widowControl w:val="0"/>
        <w:autoSpaceDE w:val="0"/>
        <w:adjustRightInd w:val="0"/>
        <w:spacing w:after="0"/>
        <w:ind w:right="16"/>
        <w:jc w:val="both"/>
        <w:rPr>
          <w:rFonts w:ascii="Arial" w:hAnsi="Arial" w:cs="Arial"/>
          <w:b/>
          <w:color w:val="000000"/>
        </w:rPr>
      </w:pPr>
    </w:p>
    <w:p w:rsidR="00077EE4" w:rsidRPr="00F24C54" w:rsidRDefault="00077EE4" w:rsidP="00077EE4">
      <w:pPr>
        <w:widowControl w:val="0"/>
        <w:autoSpaceDE w:val="0"/>
        <w:adjustRightInd w:val="0"/>
        <w:spacing w:after="0"/>
        <w:ind w:right="16"/>
        <w:jc w:val="both"/>
        <w:rPr>
          <w:rFonts w:ascii="Arial" w:hAnsi="Arial" w:cs="Arial"/>
          <w:color w:val="000000"/>
        </w:rPr>
      </w:pPr>
      <w:r w:rsidRPr="00F24C54">
        <w:rPr>
          <w:rFonts w:ascii="Arial" w:hAnsi="Arial" w:cs="Arial"/>
          <w:color w:val="000000"/>
        </w:rPr>
        <w:t xml:space="preserve">El </w:t>
      </w:r>
      <w:r>
        <w:rPr>
          <w:rFonts w:ascii="Arial" w:hAnsi="Arial" w:cs="Arial"/>
          <w:color w:val="000000"/>
        </w:rPr>
        <w:t>señor______________</w:t>
      </w:r>
      <w:r w:rsidRPr="00F24C54">
        <w:rPr>
          <w:rFonts w:ascii="Arial" w:hAnsi="Arial" w:cs="Arial"/>
          <w:color w:val="000000"/>
        </w:rPr>
        <w:t xml:space="preserve">, en calidad de </w:t>
      </w:r>
      <w:r>
        <w:rPr>
          <w:rFonts w:ascii="Arial" w:hAnsi="Arial" w:cs="Arial"/>
          <w:color w:val="000000"/>
        </w:rPr>
        <w:t>(</w:t>
      </w:r>
      <w:r w:rsidRPr="00F24C54">
        <w:rPr>
          <w:rFonts w:ascii="Arial" w:hAnsi="Arial" w:cs="Arial"/>
          <w:color w:val="000000"/>
        </w:rPr>
        <w:t xml:space="preserve">apoderado </w:t>
      </w:r>
      <w:r>
        <w:rPr>
          <w:rFonts w:ascii="Arial" w:hAnsi="Arial" w:cs="Arial"/>
          <w:color w:val="000000"/>
        </w:rPr>
        <w:t>o</w:t>
      </w:r>
      <w:r w:rsidRPr="00F24C54">
        <w:rPr>
          <w:rFonts w:ascii="Arial" w:hAnsi="Arial" w:cs="Arial"/>
          <w:color w:val="000000"/>
        </w:rPr>
        <w:t xml:space="preserve"> investigado</w:t>
      </w:r>
      <w:r>
        <w:rPr>
          <w:rFonts w:ascii="Arial" w:hAnsi="Arial" w:cs="Arial"/>
          <w:color w:val="000000"/>
        </w:rPr>
        <w:t>)</w:t>
      </w:r>
      <w:r w:rsidRPr="00F24C54">
        <w:rPr>
          <w:rFonts w:ascii="Arial" w:hAnsi="Arial" w:cs="Arial"/>
          <w:color w:val="000000"/>
        </w:rPr>
        <w:t xml:space="preserve">, mediante documento </w:t>
      </w:r>
      <w:r>
        <w:rPr>
          <w:rFonts w:ascii="Arial" w:hAnsi="Arial" w:cs="Arial"/>
          <w:color w:val="000000"/>
        </w:rPr>
        <w:t>fechado el __________</w:t>
      </w:r>
      <w:r w:rsidRPr="00F24C54">
        <w:rPr>
          <w:rFonts w:ascii="Arial" w:hAnsi="Arial" w:cs="Arial"/>
          <w:color w:val="000000"/>
        </w:rPr>
        <w:t xml:space="preserve"> presentó a esta Secretaría General escrito de descargos, en el que solicitó la tacha de algunos testigos que declararon al interior del proceso disciplinario. Textualmente, su solicitud de tacha es la siguiente: </w:t>
      </w:r>
    </w:p>
    <w:p w:rsidR="00077EE4" w:rsidRPr="00F24C54" w:rsidRDefault="00077EE4" w:rsidP="00077EE4">
      <w:pPr>
        <w:widowControl w:val="0"/>
        <w:autoSpaceDE w:val="0"/>
        <w:adjustRightInd w:val="0"/>
        <w:spacing w:after="0"/>
        <w:ind w:right="16"/>
        <w:jc w:val="both"/>
        <w:rPr>
          <w:rFonts w:ascii="Arial" w:hAnsi="Arial" w:cs="Arial"/>
          <w:color w:val="000000"/>
        </w:rPr>
      </w:pPr>
    </w:p>
    <w:p w:rsidR="00077EE4" w:rsidRPr="00F24C54" w:rsidRDefault="00077EE4" w:rsidP="00077EE4">
      <w:pPr>
        <w:widowControl w:val="0"/>
        <w:autoSpaceDE w:val="0"/>
        <w:adjustRightInd w:val="0"/>
        <w:spacing w:after="0"/>
        <w:ind w:left="708" w:right="565"/>
        <w:jc w:val="both"/>
        <w:rPr>
          <w:rFonts w:ascii="Arial" w:hAnsi="Arial" w:cs="Arial"/>
          <w:color w:val="000000"/>
        </w:rPr>
      </w:pPr>
      <w:r>
        <w:rPr>
          <w:rFonts w:ascii="Arial" w:hAnsi="Arial" w:cs="Arial"/>
          <w:color w:val="000000"/>
          <w:sz w:val="18"/>
        </w:rPr>
        <w:t>Cita o síntesis de los argumentos de la tacha</w:t>
      </w:r>
    </w:p>
    <w:p w:rsidR="00077EE4" w:rsidRPr="00F24C54" w:rsidRDefault="00077EE4" w:rsidP="00077EE4">
      <w:pPr>
        <w:widowControl w:val="0"/>
        <w:autoSpaceDE w:val="0"/>
        <w:adjustRightInd w:val="0"/>
        <w:spacing w:after="0"/>
        <w:ind w:left="708" w:right="565"/>
        <w:jc w:val="both"/>
        <w:rPr>
          <w:rFonts w:ascii="Arial" w:hAnsi="Arial" w:cs="Arial"/>
          <w:color w:val="000000"/>
        </w:rPr>
      </w:pPr>
    </w:p>
    <w:p w:rsidR="00077EE4" w:rsidRPr="00F24C54" w:rsidRDefault="00077EE4" w:rsidP="00077EE4">
      <w:pPr>
        <w:widowControl w:val="0"/>
        <w:numPr>
          <w:ilvl w:val="0"/>
          <w:numId w:val="5"/>
        </w:numPr>
        <w:autoSpaceDE w:val="0"/>
        <w:adjustRightInd w:val="0"/>
        <w:spacing w:after="0"/>
        <w:ind w:right="16"/>
        <w:jc w:val="both"/>
        <w:rPr>
          <w:rFonts w:ascii="Arial" w:hAnsi="Arial" w:cs="Arial"/>
          <w:color w:val="000000"/>
        </w:rPr>
      </w:pPr>
      <w:r w:rsidRPr="00F24C54">
        <w:rPr>
          <w:rFonts w:ascii="Arial" w:hAnsi="Arial" w:cs="Arial"/>
          <w:color w:val="000000"/>
        </w:rPr>
        <w:t xml:space="preserve">Para solventar esta solicitud es menester estudiar la figura de la tacha de testigos a la luz del proceso disciplinario. Para esto iniciaremos exponiendo que </w:t>
      </w:r>
      <w:r w:rsidRPr="00F24C54">
        <w:rPr>
          <w:rFonts w:ascii="Arial" w:hAnsi="Arial" w:cs="Arial"/>
          <w:color w:val="000000"/>
          <w:lang w:val="es-ES_tradnl"/>
        </w:rPr>
        <w:t>tanto la doctrina como la jurisprudencia de las altas cortes identifican la tacha de un testigo como un mecanismo del que gozan las partes para poner de presente en un proceso contencioso las inhabilidades y demás causales contempladas en la ley que atenten contra la imparcialidad y credibilidad de un testimonio y así poder desestimar la declaración del deponente. En efecto la tacha de testigos es una figura jurídica que tiene sus cimientos en normas de rango legal, concretamente en el artículo 218 del Código de Procedimiento Civil (actual Ley 1564 de 2012), y por ello, para que una parte lo invoque debe respetar y cumplir cada uno de los requisitos contemplados en la Ley.</w:t>
      </w:r>
    </w:p>
    <w:p w:rsidR="00077EE4" w:rsidRPr="00F24C54" w:rsidRDefault="00077EE4" w:rsidP="00077EE4">
      <w:pPr>
        <w:widowControl w:val="0"/>
        <w:autoSpaceDE w:val="0"/>
        <w:adjustRightInd w:val="0"/>
        <w:spacing w:after="0"/>
        <w:ind w:right="16"/>
        <w:jc w:val="both"/>
        <w:rPr>
          <w:rFonts w:ascii="Arial" w:hAnsi="Arial" w:cs="Arial"/>
          <w:color w:val="000000"/>
        </w:rPr>
      </w:pPr>
      <w:r w:rsidRPr="00F24C54">
        <w:rPr>
          <w:rFonts w:ascii="Arial" w:hAnsi="Arial" w:cs="Arial"/>
          <w:color w:val="000000"/>
          <w:lang w:val="es-ES_tradnl"/>
        </w:rPr>
        <w:lastRenderedPageBreak/>
        <w:t> </w:t>
      </w:r>
    </w:p>
    <w:p w:rsidR="00077EE4" w:rsidRPr="00F24C54" w:rsidRDefault="00077EE4" w:rsidP="00077EE4">
      <w:pPr>
        <w:widowControl w:val="0"/>
        <w:autoSpaceDE w:val="0"/>
        <w:adjustRightInd w:val="0"/>
        <w:spacing w:after="0"/>
        <w:ind w:right="16"/>
        <w:jc w:val="both"/>
        <w:rPr>
          <w:rFonts w:ascii="Arial" w:hAnsi="Arial" w:cs="Arial"/>
          <w:color w:val="000000"/>
        </w:rPr>
      </w:pPr>
      <w:r w:rsidRPr="00F24C54">
        <w:rPr>
          <w:rFonts w:ascii="Arial" w:hAnsi="Arial" w:cs="Arial"/>
          <w:color w:val="000000"/>
        </w:rPr>
        <w:t xml:space="preserve">De esta forma, la </w:t>
      </w:r>
      <w:r w:rsidRPr="00F24C54">
        <w:rPr>
          <w:rFonts w:ascii="Arial" w:hAnsi="Arial" w:cs="Arial"/>
          <w:color w:val="000000"/>
          <w:lang w:val="es-ES_tradnl"/>
        </w:rPr>
        <w:t xml:space="preserve">Ley 1564 de 2012 expone que </w:t>
      </w:r>
      <w:r w:rsidRPr="00F24C54">
        <w:rPr>
          <w:rFonts w:ascii="Arial" w:hAnsi="Arial" w:cs="Arial"/>
          <w:color w:val="000000"/>
        </w:rPr>
        <w:t>la tacha de un testigo puede proceder porque el declarante adolece de una inhabilidad (Art. 218 del C.P.C., actual Art. 210, C.G.P.) o por </w:t>
      </w:r>
      <w:r w:rsidRPr="00F24C54">
        <w:rPr>
          <w:rFonts w:ascii="Arial" w:hAnsi="Arial" w:cs="Arial"/>
          <w:iCs/>
          <w:color w:val="000000"/>
        </w:rPr>
        <w:t>circunstancias que afecten su credibilidad o imparcialidad</w:t>
      </w:r>
      <w:r w:rsidRPr="00F24C54">
        <w:rPr>
          <w:rFonts w:ascii="Arial" w:hAnsi="Arial" w:cs="Arial"/>
          <w:i/>
          <w:iCs/>
          <w:color w:val="000000"/>
        </w:rPr>
        <w:t xml:space="preserve">, </w:t>
      </w:r>
      <w:r w:rsidRPr="00F24C54">
        <w:rPr>
          <w:rFonts w:ascii="Arial" w:hAnsi="Arial" w:cs="Arial"/>
          <w:iCs/>
          <w:color w:val="000000"/>
        </w:rPr>
        <w:t xml:space="preserve">en razón de parentesco, dependencias, sentimientos o interés en relación con las partes o sus apoderados, antecedentes personales u otras causas </w:t>
      </w:r>
      <w:r w:rsidRPr="00F24C54">
        <w:rPr>
          <w:rFonts w:ascii="Arial" w:hAnsi="Arial" w:cs="Arial"/>
          <w:color w:val="000000"/>
        </w:rPr>
        <w:t>(Art. 217 del C.P.C., actual Art. 211, C.G.P.). Esto significa que este tipo de tacha sucede en razón de las calidades personales del testigo, sus relaciones personales, familiares y afectivas o por situaciones que demuestren que su declaración puede haber estado influenciada por elementos ajenos a la simple percepción sensorial de los hechos, verbigracia de ello se entiende que un tacha se fundamenta en: </w:t>
      </w:r>
      <w:r w:rsidRPr="00F24C54">
        <w:rPr>
          <w:rFonts w:ascii="Arial" w:hAnsi="Arial" w:cs="Arial"/>
          <w:b/>
          <w:bCs/>
          <w:i/>
          <w:iCs/>
          <w:color w:val="000000"/>
        </w:rPr>
        <w:t>(i)</w:t>
      </w:r>
      <w:r w:rsidRPr="00F24C54">
        <w:rPr>
          <w:rFonts w:ascii="Arial" w:hAnsi="Arial" w:cs="Arial"/>
          <w:color w:val="000000"/>
        </w:rPr>
        <w:t> la inhabilidad del testigo, </w:t>
      </w:r>
      <w:r w:rsidRPr="00F24C54">
        <w:rPr>
          <w:rFonts w:ascii="Arial" w:hAnsi="Arial" w:cs="Arial"/>
          <w:b/>
          <w:bCs/>
          <w:i/>
          <w:iCs/>
          <w:color w:val="000000"/>
        </w:rPr>
        <w:t>(ii)</w:t>
      </w:r>
      <w:r w:rsidRPr="00F24C54">
        <w:rPr>
          <w:rFonts w:ascii="Arial" w:hAnsi="Arial" w:cs="Arial"/>
          <w:color w:val="000000"/>
        </w:rPr>
        <w:t> los vínculos afectivos o familiares, </w:t>
      </w:r>
      <w:r w:rsidRPr="00F24C54">
        <w:rPr>
          <w:rFonts w:ascii="Arial" w:hAnsi="Arial" w:cs="Arial"/>
          <w:b/>
          <w:bCs/>
          <w:i/>
          <w:iCs/>
          <w:color w:val="000000"/>
        </w:rPr>
        <w:t>(iii)</w:t>
      </w:r>
      <w:r w:rsidRPr="00F24C54">
        <w:rPr>
          <w:rFonts w:ascii="Arial" w:hAnsi="Arial" w:cs="Arial"/>
          <w:color w:val="000000"/>
        </w:rPr>
        <w:t> la preparación previa al interrogatorio, </w:t>
      </w:r>
      <w:r w:rsidRPr="00F24C54">
        <w:rPr>
          <w:rFonts w:ascii="Arial" w:hAnsi="Arial" w:cs="Arial"/>
          <w:b/>
          <w:bCs/>
          <w:i/>
          <w:iCs/>
          <w:color w:val="000000"/>
        </w:rPr>
        <w:t>(iv)</w:t>
      </w:r>
      <w:r w:rsidRPr="00F24C54">
        <w:rPr>
          <w:rFonts w:ascii="Arial" w:hAnsi="Arial" w:cs="Arial"/>
          <w:color w:val="000000"/>
        </w:rPr>
        <w:t> la conducta del testigo durante el interrogatorio, </w:t>
      </w:r>
      <w:r w:rsidRPr="00F24C54">
        <w:rPr>
          <w:rFonts w:ascii="Arial" w:hAnsi="Arial" w:cs="Arial"/>
          <w:b/>
          <w:bCs/>
          <w:i/>
          <w:iCs/>
          <w:color w:val="000000"/>
        </w:rPr>
        <w:t>(v)</w:t>
      </w:r>
      <w:r w:rsidRPr="00F24C54">
        <w:rPr>
          <w:rFonts w:ascii="Arial" w:hAnsi="Arial" w:cs="Arial"/>
          <w:color w:val="000000"/>
        </w:rPr>
        <w:t> el seguimiento de libretos, </w:t>
      </w:r>
      <w:r w:rsidRPr="00F24C54">
        <w:rPr>
          <w:rFonts w:ascii="Arial" w:hAnsi="Arial" w:cs="Arial"/>
          <w:b/>
          <w:bCs/>
          <w:i/>
          <w:iCs/>
          <w:color w:val="000000"/>
        </w:rPr>
        <w:t>(vi)</w:t>
      </w:r>
      <w:r w:rsidRPr="00F24C54">
        <w:rPr>
          <w:rFonts w:ascii="Arial" w:hAnsi="Arial" w:cs="Arial"/>
          <w:color w:val="000000"/>
        </w:rPr>
        <w:t> la falta de consonancia entre las calidades del testigo y su lenguaje y </w:t>
      </w:r>
      <w:r w:rsidRPr="00F24C54">
        <w:rPr>
          <w:rFonts w:ascii="Arial" w:hAnsi="Arial" w:cs="Arial"/>
          <w:b/>
          <w:bCs/>
          <w:i/>
          <w:iCs/>
          <w:color w:val="000000"/>
        </w:rPr>
        <w:t>(vii)</w:t>
      </w:r>
      <w:r w:rsidRPr="00F24C54">
        <w:rPr>
          <w:rFonts w:ascii="Arial" w:hAnsi="Arial" w:cs="Arial"/>
          <w:color w:val="000000"/>
        </w:rPr>
        <w:t> la incongruencia entre los hechos narrados, entre otros.</w:t>
      </w:r>
    </w:p>
    <w:p w:rsidR="00077EE4" w:rsidRPr="00F24C54" w:rsidRDefault="00077EE4" w:rsidP="00077EE4">
      <w:pPr>
        <w:widowControl w:val="0"/>
        <w:autoSpaceDE w:val="0"/>
        <w:adjustRightInd w:val="0"/>
        <w:spacing w:after="0"/>
        <w:ind w:right="16"/>
        <w:jc w:val="both"/>
        <w:rPr>
          <w:rFonts w:ascii="Arial" w:hAnsi="Arial" w:cs="Arial"/>
          <w:color w:val="000000"/>
        </w:rPr>
      </w:pPr>
      <w:r w:rsidRPr="00F24C54">
        <w:rPr>
          <w:rFonts w:ascii="Arial" w:hAnsi="Arial" w:cs="Arial"/>
          <w:color w:val="000000"/>
        </w:rPr>
        <w:t> </w:t>
      </w:r>
    </w:p>
    <w:p w:rsidR="00077EE4" w:rsidRPr="00F24C54" w:rsidRDefault="00077EE4" w:rsidP="00077EE4">
      <w:pPr>
        <w:widowControl w:val="0"/>
        <w:autoSpaceDE w:val="0"/>
        <w:adjustRightInd w:val="0"/>
        <w:spacing w:after="0"/>
        <w:ind w:right="16"/>
        <w:jc w:val="both"/>
        <w:rPr>
          <w:rFonts w:ascii="Arial" w:hAnsi="Arial" w:cs="Arial"/>
          <w:color w:val="000000"/>
        </w:rPr>
      </w:pPr>
      <w:r w:rsidRPr="00F24C54">
        <w:rPr>
          <w:rFonts w:ascii="Arial" w:hAnsi="Arial" w:cs="Arial"/>
          <w:color w:val="000000"/>
        </w:rPr>
        <w:t>No obstante, estas situaciones no implican que el juez no pueda analizar el testimonio, por el contrario, tanto el legislador en las normas mencionadas, como la jurisprudencia recalcan que el operador jurídico deberá analizar las razones que fundamentaron la tacha y valorar el testimonio acorde con las circunstancias de cada caso y el grado de credibilidad que ofrezca</w:t>
      </w:r>
      <w:r w:rsidRPr="00F24C54">
        <w:rPr>
          <w:rStyle w:val="Refdenotaalpie"/>
          <w:rFonts w:ascii="Arial" w:hAnsi="Arial" w:cs="Arial"/>
          <w:color w:val="000000"/>
        </w:rPr>
        <w:footnoteReference w:id="1"/>
      </w:r>
      <w:r w:rsidRPr="00F24C54">
        <w:rPr>
          <w:rFonts w:ascii="Arial" w:hAnsi="Arial" w:cs="Arial"/>
          <w:color w:val="000000"/>
        </w:rPr>
        <w:t>. Al respecto el artículo 218 del C.P.C. cita: </w:t>
      </w:r>
      <w:r w:rsidRPr="00F24C54">
        <w:rPr>
          <w:rFonts w:ascii="Arial" w:hAnsi="Arial" w:cs="Arial"/>
          <w:i/>
          <w:iCs/>
          <w:color w:val="000000"/>
        </w:rPr>
        <w:t>«El juez apreciará los testimonios sospechosos, de acuerdo con las circunstancias de cada caso.</w:t>
      </w:r>
    </w:p>
    <w:p w:rsidR="00077EE4" w:rsidRPr="00F24C54" w:rsidRDefault="00077EE4" w:rsidP="00077EE4">
      <w:pPr>
        <w:widowControl w:val="0"/>
        <w:autoSpaceDE w:val="0"/>
        <w:adjustRightInd w:val="0"/>
        <w:spacing w:after="0"/>
        <w:ind w:right="16"/>
        <w:jc w:val="both"/>
        <w:rPr>
          <w:rFonts w:ascii="Arial" w:hAnsi="Arial" w:cs="Arial"/>
          <w:color w:val="000000"/>
        </w:rPr>
      </w:pPr>
    </w:p>
    <w:p w:rsidR="00077EE4" w:rsidRPr="00F24C54" w:rsidRDefault="00077EE4" w:rsidP="00077EE4">
      <w:pPr>
        <w:widowControl w:val="0"/>
        <w:autoSpaceDE w:val="0"/>
        <w:adjustRightInd w:val="0"/>
        <w:spacing w:after="0"/>
        <w:ind w:right="16"/>
        <w:jc w:val="both"/>
        <w:rPr>
          <w:rFonts w:ascii="Arial" w:hAnsi="Arial" w:cs="Arial"/>
          <w:color w:val="000000"/>
        </w:rPr>
      </w:pPr>
      <w:r w:rsidRPr="00F24C54">
        <w:rPr>
          <w:rFonts w:ascii="Arial" w:hAnsi="Arial" w:cs="Arial"/>
          <w:color w:val="000000"/>
        </w:rPr>
        <w:t xml:space="preserve">De este estudio jurídico, este despacho concluye que la figura de la tacha de testigos está regulada en el Código General del Proceso y tiene una aplicación meramente jurisdiccional, pues requiere la existencia previa de un proceso contencioso en el que esté en litigio el interés de dos partes. </w:t>
      </w:r>
    </w:p>
    <w:p w:rsidR="00077EE4" w:rsidRPr="00F24C54" w:rsidRDefault="00077EE4" w:rsidP="00077EE4">
      <w:pPr>
        <w:widowControl w:val="0"/>
        <w:autoSpaceDE w:val="0"/>
        <w:adjustRightInd w:val="0"/>
        <w:spacing w:after="0"/>
        <w:ind w:right="16"/>
        <w:jc w:val="both"/>
        <w:rPr>
          <w:rFonts w:ascii="Arial" w:hAnsi="Arial" w:cs="Arial"/>
          <w:color w:val="000000"/>
        </w:rPr>
      </w:pPr>
    </w:p>
    <w:p w:rsidR="00077EE4" w:rsidRPr="00F24C54" w:rsidRDefault="00077EE4" w:rsidP="00077EE4">
      <w:pPr>
        <w:widowControl w:val="0"/>
        <w:autoSpaceDE w:val="0"/>
        <w:adjustRightInd w:val="0"/>
        <w:spacing w:after="0"/>
        <w:jc w:val="both"/>
        <w:rPr>
          <w:rFonts w:ascii="Arial" w:hAnsi="Arial" w:cs="Arial"/>
        </w:rPr>
      </w:pPr>
      <w:r w:rsidRPr="00F24C54">
        <w:rPr>
          <w:rFonts w:ascii="Arial" w:hAnsi="Arial" w:cs="Arial"/>
          <w:color w:val="000000"/>
        </w:rPr>
        <w:t xml:space="preserve">Así las cosas, la figura de la tacha de testigos es inadmisible en los procesos disciplinarios pues contraría </w:t>
      </w:r>
      <w:r w:rsidRPr="00F24C54">
        <w:rPr>
          <w:rFonts w:ascii="Arial" w:hAnsi="Arial" w:cs="Arial"/>
          <w:iCs/>
          <w:color w:val="000000"/>
          <w:lang w:val="es-ES"/>
        </w:rPr>
        <w:t xml:space="preserve">la naturaleza de esta clase de </w:t>
      </w:r>
      <w:proofErr w:type="spellStart"/>
      <w:r w:rsidRPr="00F24C54">
        <w:rPr>
          <w:rFonts w:ascii="Arial" w:hAnsi="Arial" w:cs="Arial"/>
          <w:i/>
          <w:iCs/>
          <w:color w:val="000000"/>
          <w:lang w:val="es-ES"/>
        </w:rPr>
        <w:t>ius</w:t>
      </w:r>
      <w:proofErr w:type="spellEnd"/>
      <w:r w:rsidRPr="00F24C54">
        <w:rPr>
          <w:rFonts w:ascii="Arial" w:hAnsi="Arial" w:cs="Arial"/>
          <w:i/>
          <w:iCs/>
          <w:color w:val="000000"/>
          <w:lang w:val="es-ES"/>
        </w:rPr>
        <w:t xml:space="preserve"> </w:t>
      </w:r>
      <w:proofErr w:type="spellStart"/>
      <w:r w:rsidRPr="00F24C54">
        <w:rPr>
          <w:rFonts w:ascii="Arial" w:hAnsi="Arial" w:cs="Arial"/>
          <w:i/>
          <w:iCs/>
          <w:color w:val="000000"/>
          <w:lang w:val="es-ES"/>
        </w:rPr>
        <w:t>puniendi</w:t>
      </w:r>
      <w:proofErr w:type="spellEnd"/>
      <w:r w:rsidRPr="00F24C54">
        <w:rPr>
          <w:rFonts w:ascii="Arial" w:hAnsi="Arial" w:cs="Arial"/>
          <w:i/>
          <w:iCs/>
          <w:color w:val="000000"/>
          <w:lang w:val="es-ES"/>
        </w:rPr>
        <w:t xml:space="preserve"> </w:t>
      </w:r>
      <w:r w:rsidRPr="00F24C54">
        <w:rPr>
          <w:rFonts w:ascii="Arial" w:hAnsi="Arial" w:cs="Arial"/>
          <w:iCs/>
          <w:color w:val="000000"/>
          <w:lang w:val="es-ES"/>
        </w:rPr>
        <w:t>del Estado con la que se busca</w:t>
      </w:r>
      <w:r w:rsidRPr="00F24C54">
        <w:rPr>
          <w:rFonts w:ascii="Arial" w:hAnsi="Arial" w:cs="Arial"/>
        </w:rPr>
        <w:t xml:space="preserve"> sancionar a aquellos servidores públicos o particulares que ejerzan función pública cuya conducta en el ejercicio de sus funciones o con ocasión de las mismas deriven en el desconocimiento de las normas de función pública, la ética de su profesión, el  incumplimiento de deberes, la extralimitación en el ejercicio de derechos y funciones, prohibiciones, la violación del régimen de inhabilidades, incompatibilidades, impedimentos y conflicto de intereses, etc. </w:t>
      </w:r>
    </w:p>
    <w:p w:rsidR="00077EE4" w:rsidRPr="00F24C54" w:rsidRDefault="00077EE4" w:rsidP="00077EE4">
      <w:pPr>
        <w:widowControl w:val="0"/>
        <w:autoSpaceDE w:val="0"/>
        <w:adjustRightInd w:val="0"/>
        <w:spacing w:after="0"/>
        <w:ind w:right="16"/>
        <w:jc w:val="both"/>
        <w:rPr>
          <w:rFonts w:ascii="Arial" w:hAnsi="Arial" w:cs="Arial"/>
          <w:iCs/>
          <w:color w:val="000000"/>
          <w:lang w:val="es-ES"/>
        </w:rPr>
      </w:pPr>
    </w:p>
    <w:p w:rsidR="00077EE4" w:rsidRPr="00F24C54" w:rsidRDefault="00077EE4" w:rsidP="00077EE4">
      <w:pPr>
        <w:widowControl w:val="0"/>
        <w:autoSpaceDE w:val="0"/>
        <w:adjustRightInd w:val="0"/>
        <w:spacing w:after="0"/>
        <w:ind w:right="16"/>
        <w:jc w:val="both"/>
        <w:rPr>
          <w:rFonts w:ascii="Arial" w:hAnsi="Arial" w:cs="Arial"/>
          <w:iCs/>
          <w:color w:val="000000"/>
          <w:lang w:val="es-ES"/>
        </w:rPr>
      </w:pPr>
      <w:r w:rsidRPr="00F24C54">
        <w:rPr>
          <w:rFonts w:ascii="Arial" w:hAnsi="Arial" w:cs="Arial"/>
          <w:iCs/>
          <w:color w:val="000000"/>
          <w:lang w:val="es-ES"/>
        </w:rPr>
        <w:t xml:space="preserve">En otras palabras, considerando que en los procesos disciplinario no existe la constitución de partes, sino de sujetos procesales la figura aludida no tiene aplicación, toda vez que, tal como lo consagra el artículo 211 de la Ley 1564 de 2012, la tacha de testigo es un mecanismo de </w:t>
      </w:r>
      <w:proofErr w:type="spellStart"/>
      <w:r w:rsidRPr="00F24C54">
        <w:rPr>
          <w:rFonts w:ascii="Arial" w:hAnsi="Arial" w:cs="Arial"/>
          <w:iCs/>
          <w:color w:val="000000"/>
          <w:lang w:val="es-ES"/>
        </w:rPr>
        <w:t>oponibilidad</w:t>
      </w:r>
      <w:proofErr w:type="spellEnd"/>
      <w:r w:rsidRPr="00F24C54">
        <w:rPr>
          <w:rFonts w:ascii="Arial" w:hAnsi="Arial" w:cs="Arial"/>
          <w:iCs/>
          <w:color w:val="000000"/>
          <w:lang w:val="es-ES"/>
        </w:rPr>
        <w:t xml:space="preserve"> que ha sido otorgado única y exclusivamente a las personas que ostentan la calidad de parte dentro de un proceso contencioso.</w:t>
      </w:r>
    </w:p>
    <w:p w:rsidR="00077EE4" w:rsidRPr="00F24C54" w:rsidRDefault="00077EE4" w:rsidP="00077EE4">
      <w:pPr>
        <w:widowControl w:val="0"/>
        <w:autoSpaceDE w:val="0"/>
        <w:adjustRightInd w:val="0"/>
        <w:spacing w:after="0"/>
        <w:ind w:right="16"/>
        <w:jc w:val="both"/>
        <w:rPr>
          <w:rFonts w:ascii="Arial" w:hAnsi="Arial" w:cs="Arial"/>
          <w:iCs/>
          <w:color w:val="000000"/>
          <w:lang w:val="es-ES"/>
        </w:rPr>
      </w:pPr>
    </w:p>
    <w:p w:rsidR="00077EE4" w:rsidRPr="00F24C54" w:rsidRDefault="00077EE4" w:rsidP="00077EE4">
      <w:pPr>
        <w:widowControl w:val="0"/>
        <w:autoSpaceDE w:val="0"/>
        <w:adjustRightInd w:val="0"/>
        <w:spacing w:after="0"/>
        <w:ind w:right="16"/>
        <w:jc w:val="both"/>
        <w:rPr>
          <w:rFonts w:ascii="Arial" w:hAnsi="Arial" w:cs="Arial"/>
          <w:iCs/>
          <w:color w:val="000000"/>
          <w:lang w:val="es-ES"/>
        </w:rPr>
      </w:pPr>
      <w:r w:rsidRPr="00F24C54">
        <w:rPr>
          <w:rFonts w:ascii="Arial" w:hAnsi="Arial" w:cs="Arial"/>
          <w:iCs/>
          <w:color w:val="000000"/>
          <w:lang w:val="es-ES"/>
        </w:rPr>
        <w:t xml:space="preserve">Al respecto la Procuraduría General de la Nación, Sala Disciplinaria, en providencia del 4 de junio de 2015, Proceso No. </w:t>
      </w:r>
      <w:r w:rsidRPr="00F24C54">
        <w:rPr>
          <w:rFonts w:ascii="Arial" w:hAnsi="Arial" w:cs="Arial"/>
          <w:bCs/>
          <w:iCs/>
          <w:color w:val="000000"/>
          <w:lang w:val="es-ES"/>
        </w:rPr>
        <w:t xml:space="preserve">161 – 6095 (IUS 2013 – 318812), Procurador Ponente: </w:t>
      </w:r>
      <w:r w:rsidRPr="00F24C54">
        <w:rPr>
          <w:rFonts w:ascii="Arial" w:hAnsi="Arial" w:cs="Arial"/>
          <w:bCs/>
          <w:iCs/>
          <w:color w:val="000000"/>
          <w:lang w:val="es-ES_tradnl"/>
        </w:rPr>
        <w:t xml:space="preserve">Dr. JUAN CARLOS NOVOA BUENDÍA, expuso: </w:t>
      </w:r>
    </w:p>
    <w:p w:rsidR="00077EE4" w:rsidRPr="00F24C54" w:rsidRDefault="00077EE4" w:rsidP="00077EE4">
      <w:pPr>
        <w:widowControl w:val="0"/>
        <w:autoSpaceDE w:val="0"/>
        <w:adjustRightInd w:val="0"/>
        <w:spacing w:after="0"/>
        <w:ind w:right="16"/>
        <w:jc w:val="both"/>
        <w:rPr>
          <w:rFonts w:ascii="Arial" w:hAnsi="Arial" w:cs="Arial"/>
          <w:iCs/>
          <w:color w:val="000000"/>
          <w:lang w:val="es-ES"/>
        </w:rPr>
      </w:pPr>
    </w:p>
    <w:p w:rsidR="00077EE4" w:rsidRPr="00F24C54" w:rsidRDefault="00077EE4" w:rsidP="00077EE4">
      <w:pPr>
        <w:widowControl w:val="0"/>
        <w:autoSpaceDE w:val="0"/>
        <w:adjustRightInd w:val="0"/>
        <w:spacing w:after="0"/>
        <w:ind w:left="708" w:right="565"/>
        <w:jc w:val="both"/>
        <w:rPr>
          <w:rFonts w:ascii="Arial" w:hAnsi="Arial" w:cs="Arial"/>
          <w:color w:val="000000"/>
          <w:lang w:val="es-ES"/>
        </w:rPr>
      </w:pPr>
      <w:r>
        <w:rPr>
          <w:rFonts w:ascii="Arial" w:hAnsi="Arial" w:cs="Arial"/>
          <w:i/>
          <w:color w:val="000000"/>
          <w:sz w:val="18"/>
          <w:lang w:val="es-ES"/>
        </w:rPr>
        <w:lastRenderedPageBreak/>
        <w:t>“</w:t>
      </w:r>
      <w:r w:rsidRPr="00F24C54">
        <w:rPr>
          <w:rFonts w:ascii="Arial" w:hAnsi="Arial" w:cs="Arial"/>
          <w:i/>
          <w:color w:val="000000"/>
          <w:sz w:val="18"/>
          <w:lang w:val="es-ES"/>
        </w:rPr>
        <w:t>La quejosa ha tachado los testigos  presentados por la defensa como falsos, petición que ha de ser denegada</w:t>
      </w:r>
      <w:r w:rsidRPr="00F24C54">
        <w:rPr>
          <w:rFonts w:ascii="Arial" w:hAnsi="Arial" w:cs="Arial"/>
          <w:i/>
          <w:iCs/>
          <w:color w:val="000000"/>
          <w:sz w:val="18"/>
          <w:lang w:val="es-ES"/>
        </w:rPr>
        <w:t xml:space="preserve">, como quiera que, </w:t>
      </w:r>
      <w:r w:rsidRPr="00F24C54">
        <w:rPr>
          <w:rFonts w:ascii="Arial" w:hAnsi="Arial" w:cs="Arial"/>
          <w:b/>
          <w:i/>
          <w:iCs/>
          <w:color w:val="000000"/>
          <w:sz w:val="18"/>
          <w:lang w:val="es-ES"/>
        </w:rPr>
        <w:t>por la naturaleza del derecho disciplinario, esto es, punitivo</w:t>
      </w:r>
      <w:r w:rsidRPr="00F24C54">
        <w:rPr>
          <w:rFonts w:ascii="Arial" w:hAnsi="Arial" w:cs="Arial"/>
          <w:i/>
          <w:iCs/>
          <w:color w:val="000000"/>
          <w:sz w:val="18"/>
          <w:lang w:val="es-ES"/>
        </w:rPr>
        <w:t xml:space="preserve">, en el que como ya lo vimos </w:t>
      </w:r>
      <w:r w:rsidRPr="00F24C54">
        <w:rPr>
          <w:rFonts w:ascii="Arial" w:hAnsi="Arial" w:cs="Arial"/>
          <w:b/>
          <w:i/>
          <w:iCs/>
          <w:color w:val="000000"/>
          <w:sz w:val="18"/>
          <w:lang w:val="es-ES"/>
        </w:rPr>
        <w:t>no hay  partes sino sujetos procesales, ésta figura no tiene aplicación</w:t>
      </w:r>
      <w:r w:rsidRPr="00F24C54">
        <w:rPr>
          <w:rFonts w:ascii="Arial" w:hAnsi="Arial" w:cs="Arial"/>
          <w:i/>
          <w:iCs/>
          <w:color w:val="000000"/>
          <w:sz w:val="18"/>
          <w:lang w:val="es-ES"/>
        </w:rPr>
        <w:t xml:space="preserve">, toda vez que, tal como lo orienta la consagración que se encuentra contenida en el artículo 218  del Código de Procedimiento Civil, en concordancia con el artículo 211 de la Ley 1564 de 2012, la </w:t>
      </w:r>
      <w:r w:rsidRPr="00F24C54">
        <w:rPr>
          <w:rFonts w:ascii="Arial" w:hAnsi="Arial" w:cs="Arial"/>
          <w:b/>
          <w:i/>
          <w:iCs/>
          <w:color w:val="000000"/>
          <w:sz w:val="18"/>
          <w:lang w:val="es-ES"/>
        </w:rPr>
        <w:t xml:space="preserve">tacha de testigo como mecanismo de </w:t>
      </w:r>
      <w:proofErr w:type="spellStart"/>
      <w:r w:rsidRPr="00F24C54">
        <w:rPr>
          <w:rFonts w:ascii="Arial" w:hAnsi="Arial" w:cs="Arial"/>
          <w:b/>
          <w:i/>
          <w:iCs/>
          <w:color w:val="000000"/>
          <w:sz w:val="18"/>
          <w:lang w:val="es-ES"/>
        </w:rPr>
        <w:t>oponibilidad</w:t>
      </w:r>
      <w:proofErr w:type="spellEnd"/>
      <w:r w:rsidRPr="00F24C54">
        <w:rPr>
          <w:rFonts w:ascii="Arial" w:hAnsi="Arial" w:cs="Arial"/>
          <w:b/>
          <w:i/>
          <w:iCs/>
          <w:color w:val="000000"/>
          <w:sz w:val="18"/>
          <w:lang w:val="es-ES"/>
        </w:rPr>
        <w:t xml:space="preserve"> ha sido otorgado única y exclusivamente a las personas que ostentan la calidad de parte dentro de un proceso  contencioso</w:t>
      </w:r>
      <w:r w:rsidRPr="00F24C54">
        <w:rPr>
          <w:rFonts w:ascii="Arial" w:hAnsi="Arial" w:cs="Arial"/>
          <w:i/>
          <w:iCs/>
          <w:color w:val="000000"/>
          <w:sz w:val="18"/>
          <w:lang w:val="es-ES"/>
        </w:rPr>
        <w:t xml:space="preserve"> y, por tal razón se tendrán como pruebas las testimoniales recaudadas, en su oportunidad por la primera Instancia, de las cuales se efectuará su ponderación de acuerdo a los criterios de lógica y experiencia que permitan valorarlas en su real dimensión</w:t>
      </w:r>
      <w:r w:rsidRPr="00F24C54">
        <w:rPr>
          <w:rFonts w:ascii="Arial" w:hAnsi="Arial" w:cs="Arial"/>
          <w:i/>
          <w:iCs/>
          <w:color w:val="000000"/>
          <w:lang w:val="es-ES"/>
        </w:rPr>
        <w:t>.</w:t>
      </w:r>
      <w:r>
        <w:rPr>
          <w:rFonts w:ascii="Arial" w:hAnsi="Arial" w:cs="Arial"/>
          <w:i/>
          <w:iCs/>
          <w:color w:val="000000"/>
          <w:lang w:val="es-ES"/>
        </w:rPr>
        <w:t>”</w:t>
      </w:r>
      <w:r w:rsidRPr="00F24C54">
        <w:rPr>
          <w:rFonts w:ascii="Arial" w:hAnsi="Arial" w:cs="Arial"/>
          <w:i/>
          <w:iCs/>
          <w:color w:val="000000"/>
          <w:lang w:val="es-ES"/>
        </w:rPr>
        <w:t xml:space="preserve">  </w:t>
      </w:r>
      <w:r w:rsidRPr="00F24C54">
        <w:rPr>
          <w:rFonts w:ascii="Arial" w:hAnsi="Arial" w:cs="Arial"/>
          <w:iCs/>
          <w:color w:val="000000"/>
          <w:lang w:val="es-ES"/>
        </w:rPr>
        <w:t>(Negrilla del despacho)</w:t>
      </w:r>
    </w:p>
    <w:p w:rsidR="00077EE4" w:rsidRPr="00F24C54" w:rsidRDefault="00077EE4" w:rsidP="00077EE4">
      <w:pPr>
        <w:widowControl w:val="0"/>
        <w:autoSpaceDE w:val="0"/>
        <w:adjustRightInd w:val="0"/>
        <w:spacing w:after="0"/>
        <w:ind w:right="16"/>
        <w:jc w:val="both"/>
        <w:rPr>
          <w:rFonts w:ascii="Arial" w:hAnsi="Arial" w:cs="Arial"/>
          <w:color w:val="000000"/>
        </w:rPr>
      </w:pPr>
    </w:p>
    <w:p w:rsidR="00077EE4" w:rsidRPr="00F24C54" w:rsidRDefault="00077EE4" w:rsidP="00077EE4">
      <w:pPr>
        <w:widowControl w:val="0"/>
        <w:autoSpaceDE w:val="0"/>
        <w:adjustRightInd w:val="0"/>
        <w:spacing w:after="0"/>
        <w:ind w:right="16"/>
        <w:jc w:val="both"/>
        <w:rPr>
          <w:rFonts w:ascii="Arial" w:hAnsi="Arial" w:cs="Arial"/>
          <w:color w:val="000000"/>
        </w:rPr>
      </w:pPr>
      <w:r w:rsidRPr="00F24C54">
        <w:rPr>
          <w:rFonts w:ascii="Arial" w:hAnsi="Arial" w:cs="Arial"/>
          <w:color w:val="000000"/>
        </w:rPr>
        <w:t xml:space="preserve">A su vez la Procuraduría Delegada para la Moralidad Pública en sentencia de segunda instancia proferida el 18 de septiembre de 2008, Proceso No. 52-8510-2005, determinó: </w:t>
      </w:r>
    </w:p>
    <w:p w:rsidR="00077EE4" w:rsidRPr="00F24C54" w:rsidRDefault="00077EE4" w:rsidP="00077EE4">
      <w:pPr>
        <w:widowControl w:val="0"/>
        <w:autoSpaceDE w:val="0"/>
        <w:adjustRightInd w:val="0"/>
        <w:spacing w:after="0"/>
        <w:ind w:right="16"/>
        <w:jc w:val="both"/>
        <w:rPr>
          <w:rFonts w:ascii="Arial" w:hAnsi="Arial" w:cs="Arial"/>
          <w:color w:val="000000"/>
        </w:rPr>
      </w:pPr>
    </w:p>
    <w:p w:rsidR="00077EE4" w:rsidRPr="00F24C54" w:rsidRDefault="00077EE4" w:rsidP="00077EE4">
      <w:pPr>
        <w:widowControl w:val="0"/>
        <w:autoSpaceDE w:val="0"/>
        <w:adjustRightInd w:val="0"/>
        <w:spacing w:after="0"/>
        <w:ind w:left="708" w:right="565"/>
        <w:jc w:val="both"/>
        <w:rPr>
          <w:rFonts w:ascii="Arial" w:hAnsi="Arial" w:cs="Arial"/>
          <w:iCs/>
          <w:color w:val="000000"/>
          <w:lang w:val="es-ES"/>
        </w:rPr>
      </w:pPr>
      <w:r w:rsidRPr="00F24C54">
        <w:rPr>
          <w:rFonts w:ascii="Arial" w:hAnsi="Arial" w:cs="Arial"/>
          <w:i/>
          <w:color w:val="000000"/>
          <w:sz w:val="18"/>
        </w:rPr>
        <w:t xml:space="preserve">“En punto a la pretensión elevada por el profesional de tachar de sospecho el testimonio de la señora RUBY TEJADA, “por no ser la persona idónea  para declarar en éste asunto”, e indicar que es un mero     indicio y que no se le puede dar valor de prueba por no reunir los requisitos básicos de la declaración, procede el despacho a su denegatoria, como quiera que, </w:t>
      </w:r>
      <w:r w:rsidRPr="00F24C54">
        <w:rPr>
          <w:rFonts w:ascii="Arial" w:hAnsi="Arial" w:cs="Arial"/>
          <w:b/>
          <w:i/>
          <w:color w:val="000000"/>
          <w:sz w:val="18"/>
        </w:rPr>
        <w:t>por la naturaleza del derecho disciplinario,    esto es, punitivo - donde no hay   partes -, ésta figura no tiene aplicación</w:t>
      </w:r>
      <w:r w:rsidRPr="00F24C54">
        <w:rPr>
          <w:rFonts w:ascii="Arial" w:hAnsi="Arial" w:cs="Arial"/>
          <w:i/>
          <w:color w:val="000000"/>
          <w:sz w:val="18"/>
        </w:rPr>
        <w:t xml:space="preserve">   toda vez que, tal como lo dispone la consagración que se encuentra   contenida en el artículo 218  del Código de Procedimiento Civil, ésta como mecanismo de oponibilidad ha sido otorgado única y exclusivamente a las personas que ostentan la calidad de parte dentro de un proceso  contencioso.”</w:t>
      </w:r>
      <w:r w:rsidRPr="00F24C54">
        <w:rPr>
          <w:rFonts w:ascii="Arial" w:hAnsi="Arial" w:cs="Arial"/>
          <w:iCs/>
          <w:color w:val="000000"/>
          <w:sz w:val="18"/>
          <w:lang w:val="es-ES"/>
        </w:rPr>
        <w:t xml:space="preserve"> </w:t>
      </w:r>
      <w:r w:rsidRPr="00F24C54">
        <w:rPr>
          <w:rFonts w:ascii="Arial" w:hAnsi="Arial" w:cs="Arial"/>
          <w:iCs/>
          <w:color w:val="000000"/>
          <w:lang w:val="es-ES"/>
        </w:rPr>
        <w:t>(Negrilla del despacho)</w:t>
      </w:r>
    </w:p>
    <w:p w:rsidR="00077EE4" w:rsidRPr="00F24C54" w:rsidRDefault="00077EE4" w:rsidP="00077EE4">
      <w:pPr>
        <w:widowControl w:val="0"/>
        <w:autoSpaceDE w:val="0"/>
        <w:adjustRightInd w:val="0"/>
        <w:spacing w:after="0"/>
        <w:ind w:right="565"/>
        <w:jc w:val="both"/>
        <w:rPr>
          <w:rFonts w:ascii="Arial" w:hAnsi="Arial" w:cs="Arial"/>
          <w:i/>
          <w:color w:val="000000"/>
        </w:rPr>
      </w:pPr>
    </w:p>
    <w:p w:rsidR="00077EE4" w:rsidRPr="00F24C54" w:rsidRDefault="00077EE4" w:rsidP="00077EE4">
      <w:pPr>
        <w:widowControl w:val="0"/>
        <w:autoSpaceDE w:val="0"/>
        <w:adjustRightInd w:val="0"/>
        <w:spacing w:after="0"/>
        <w:ind w:right="-2"/>
        <w:jc w:val="both"/>
        <w:rPr>
          <w:rFonts w:ascii="Arial" w:hAnsi="Arial" w:cs="Arial"/>
          <w:color w:val="000000"/>
        </w:rPr>
      </w:pPr>
      <w:r w:rsidRPr="00F24C54">
        <w:rPr>
          <w:rFonts w:ascii="Arial" w:hAnsi="Arial" w:cs="Arial"/>
          <w:color w:val="000000"/>
        </w:rPr>
        <w:t xml:space="preserve">En virtud de lo expuesto, este despacho no acogerá favorablemente la solicitud de tacha de testigos presentada por el apoderado del investigado, debido a que, esta figura no tiene aplicación en los procesos disciplinarios, tal como lo ha determinado el máximo órgano disciplinario del Estado, es decir, la Procuraduría General de la Nación. </w:t>
      </w:r>
    </w:p>
    <w:p w:rsidR="00077EE4" w:rsidRPr="00F24C54" w:rsidRDefault="00077EE4" w:rsidP="00077EE4">
      <w:pPr>
        <w:widowControl w:val="0"/>
        <w:autoSpaceDE w:val="0"/>
        <w:adjustRightInd w:val="0"/>
        <w:spacing w:after="0"/>
        <w:ind w:right="-2"/>
        <w:jc w:val="both"/>
        <w:rPr>
          <w:rFonts w:ascii="Arial" w:hAnsi="Arial" w:cs="Arial"/>
          <w:color w:val="000000"/>
        </w:rPr>
      </w:pPr>
    </w:p>
    <w:p w:rsidR="00077EE4" w:rsidRPr="00F24C54" w:rsidRDefault="00077EE4" w:rsidP="00077EE4">
      <w:pPr>
        <w:pStyle w:val="Prrafodelista"/>
        <w:widowControl w:val="0"/>
        <w:numPr>
          <w:ilvl w:val="0"/>
          <w:numId w:val="4"/>
        </w:numPr>
        <w:autoSpaceDE w:val="0"/>
        <w:adjustRightInd w:val="0"/>
        <w:spacing w:after="0"/>
        <w:ind w:left="426" w:right="-2"/>
        <w:jc w:val="both"/>
        <w:rPr>
          <w:rFonts w:ascii="Arial" w:hAnsi="Arial" w:cs="Arial"/>
          <w:b/>
          <w:color w:val="000000"/>
        </w:rPr>
      </w:pPr>
      <w:r w:rsidRPr="00F24C54">
        <w:rPr>
          <w:rFonts w:ascii="Arial" w:hAnsi="Arial" w:cs="Arial"/>
          <w:b/>
          <w:color w:val="000000"/>
        </w:rPr>
        <w:t xml:space="preserve">De las pruebas solicitadas en los descargos. </w:t>
      </w:r>
    </w:p>
    <w:p w:rsidR="00077EE4" w:rsidRPr="00F24C54" w:rsidRDefault="00077EE4" w:rsidP="00077EE4">
      <w:pPr>
        <w:widowControl w:val="0"/>
        <w:autoSpaceDE w:val="0"/>
        <w:adjustRightInd w:val="0"/>
        <w:spacing w:after="0"/>
        <w:ind w:right="16"/>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FF0000"/>
        </w:rPr>
      </w:pPr>
      <w:r w:rsidRPr="00F24C54">
        <w:rPr>
          <w:rFonts w:ascii="Arial" w:hAnsi="Arial" w:cs="Arial"/>
          <w:color w:val="000000"/>
        </w:rPr>
        <w:t xml:space="preserve">El </w:t>
      </w:r>
      <w:r>
        <w:rPr>
          <w:rFonts w:ascii="Arial" w:hAnsi="Arial" w:cs="Arial"/>
          <w:color w:val="000000"/>
        </w:rPr>
        <w:t>señor________</w:t>
      </w:r>
      <w:r w:rsidRPr="00F24C54">
        <w:rPr>
          <w:rFonts w:ascii="Arial" w:hAnsi="Arial" w:cs="Arial"/>
          <w:color w:val="000000"/>
        </w:rPr>
        <w:t xml:space="preserve">, en calidad de </w:t>
      </w:r>
      <w:r>
        <w:rPr>
          <w:rFonts w:ascii="Arial" w:hAnsi="Arial" w:cs="Arial"/>
          <w:color w:val="000000"/>
        </w:rPr>
        <w:t>(</w:t>
      </w:r>
      <w:r w:rsidRPr="00F24C54">
        <w:rPr>
          <w:rFonts w:ascii="Arial" w:hAnsi="Arial" w:cs="Arial"/>
          <w:color w:val="000000"/>
        </w:rPr>
        <w:t xml:space="preserve">apoderado </w:t>
      </w:r>
      <w:r>
        <w:rPr>
          <w:rFonts w:ascii="Arial" w:hAnsi="Arial" w:cs="Arial"/>
          <w:color w:val="000000"/>
        </w:rPr>
        <w:t>o</w:t>
      </w:r>
      <w:r w:rsidRPr="00F24C54">
        <w:rPr>
          <w:rFonts w:ascii="Arial" w:hAnsi="Arial" w:cs="Arial"/>
          <w:color w:val="000000"/>
        </w:rPr>
        <w:t xml:space="preserve"> investigado</w:t>
      </w:r>
      <w:r>
        <w:rPr>
          <w:rFonts w:ascii="Arial" w:hAnsi="Arial" w:cs="Arial"/>
          <w:color w:val="000000"/>
        </w:rPr>
        <w:t>)</w:t>
      </w:r>
      <w:r w:rsidRPr="00F24C54">
        <w:rPr>
          <w:rFonts w:ascii="Arial" w:hAnsi="Arial" w:cs="Arial"/>
          <w:color w:val="000000"/>
        </w:rPr>
        <w:t xml:space="preserve">, mediante documento </w:t>
      </w:r>
      <w:r>
        <w:rPr>
          <w:rFonts w:ascii="Arial" w:hAnsi="Arial" w:cs="Arial"/>
          <w:color w:val="000000"/>
        </w:rPr>
        <w:t>fechado el _______</w:t>
      </w:r>
      <w:r w:rsidRPr="00F24C54">
        <w:rPr>
          <w:rFonts w:ascii="Arial" w:hAnsi="Arial" w:cs="Arial"/>
          <w:color w:val="000000"/>
        </w:rPr>
        <w:t xml:space="preserve"> presentó a esta Secretaría General escrito de descargos, en el que solicitó como pruebas las siguientes: </w:t>
      </w:r>
    </w:p>
    <w:p w:rsidR="00077EE4" w:rsidRPr="00F24C54" w:rsidRDefault="00077EE4" w:rsidP="00077EE4">
      <w:pPr>
        <w:widowControl w:val="0"/>
        <w:autoSpaceDE w:val="0"/>
        <w:autoSpaceDN w:val="0"/>
        <w:adjustRightInd w:val="0"/>
        <w:spacing w:after="0" w:line="240" w:lineRule="atLeast"/>
        <w:jc w:val="both"/>
        <w:rPr>
          <w:rFonts w:ascii="Arial" w:hAnsi="Arial" w:cs="Arial"/>
        </w:rPr>
      </w:pPr>
    </w:p>
    <w:p w:rsidR="00077EE4" w:rsidRPr="00F24C54" w:rsidRDefault="00077EE4" w:rsidP="00077EE4">
      <w:pPr>
        <w:widowControl w:val="0"/>
        <w:autoSpaceDE w:val="0"/>
        <w:autoSpaceDN w:val="0"/>
        <w:adjustRightInd w:val="0"/>
        <w:spacing w:after="0" w:line="240" w:lineRule="atLeast"/>
        <w:ind w:left="708" w:right="565"/>
        <w:jc w:val="both"/>
        <w:rPr>
          <w:rFonts w:ascii="Arial" w:hAnsi="Arial" w:cs="Arial"/>
        </w:rPr>
      </w:pPr>
      <w:r>
        <w:rPr>
          <w:rFonts w:ascii="Arial" w:hAnsi="Arial" w:cs="Arial"/>
          <w:i/>
          <w:sz w:val="18"/>
        </w:rPr>
        <w:t>“Citar las pruebas solicitadas por el investigado o su apoderado”</w:t>
      </w:r>
    </w:p>
    <w:p w:rsidR="00077EE4" w:rsidRPr="00F24C54" w:rsidRDefault="00077EE4" w:rsidP="00077EE4">
      <w:pPr>
        <w:widowControl w:val="0"/>
        <w:autoSpaceDE w:val="0"/>
        <w:autoSpaceDN w:val="0"/>
        <w:adjustRightInd w:val="0"/>
        <w:spacing w:after="0" w:line="240" w:lineRule="atLeast"/>
        <w:jc w:val="both"/>
        <w:rPr>
          <w:rFonts w:ascii="Arial" w:hAnsi="Arial" w:cs="Arial"/>
        </w:rPr>
      </w:pPr>
    </w:p>
    <w:p w:rsidR="00077EE4" w:rsidRPr="00F24C54" w:rsidRDefault="00077EE4" w:rsidP="00077EE4">
      <w:pPr>
        <w:widowControl w:val="0"/>
        <w:autoSpaceDE w:val="0"/>
        <w:autoSpaceDN w:val="0"/>
        <w:adjustRightInd w:val="0"/>
        <w:spacing w:after="0" w:line="240" w:lineRule="atLeast"/>
        <w:jc w:val="both"/>
        <w:rPr>
          <w:rFonts w:ascii="Arial" w:hAnsi="Arial" w:cs="Arial"/>
        </w:rPr>
      </w:pPr>
      <w:r>
        <w:rPr>
          <w:rFonts w:ascii="Arial" w:hAnsi="Arial" w:cs="Arial"/>
        </w:rPr>
        <w:t>Pruebas que el solicitante consideró pertinente, conducentes y útiles por las siguientes razones:_____________________</w:t>
      </w:r>
    </w:p>
    <w:p w:rsidR="00077EE4" w:rsidRPr="00F24C54" w:rsidRDefault="00077EE4" w:rsidP="00077EE4">
      <w:pPr>
        <w:widowControl w:val="0"/>
        <w:autoSpaceDE w:val="0"/>
        <w:autoSpaceDN w:val="0"/>
        <w:adjustRightInd w:val="0"/>
        <w:spacing w:after="0" w:line="240" w:lineRule="atLeast"/>
        <w:jc w:val="both"/>
        <w:rPr>
          <w:rFonts w:ascii="Arial" w:hAnsi="Arial" w:cs="Arial"/>
        </w:rPr>
      </w:pPr>
    </w:p>
    <w:p w:rsidR="00077EE4" w:rsidRPr="004309D1" w:rsidRDefault="00077EE4" w:rsidP="00077EE4">
      <w:pPr>
        <w:widowControl w:val="0"/>
        <w:autoSpaceDE w:val="0"/>
        <w:autoSpaceDN w:val="0"/>
        <w:adjustRightInd w:val="0"/>
        <w:spacing w:after="0" w:line="240" w:lineRule="atLeast"/>
        <w:jc w:val="both"/>
        <w:rPr>
          <w:rFonts w:ascii="Arial" w:hAnsi="Arial" w:cs="Arial"/>
          <w:i/>
        </w:rPr>
      </w:pPr>
      <w:r>
        <w:rPr>
          <w:rFonts w:ascii="Arial" w:hAnsi="Arial" w:cs="Arial"/>
        </w:rPr>
        <w:t>C</w:t>
      </w:r>
      <w:r w:rsidRPr="00F24C54">
        <w:rPr>
          <w:rFonts w:ascii="Arial" w:hAnsi="Arial" w:cs="Arial"/>
        </w:rPr>
        <w:t xml:space="preserve">on fundamento en los artículos 128 al 132 de la Ley 734 de 2002, y a fin de esclarecer los hechos materia de investigación, por posibles irregularidades consistentes en: </w:t>
      </w:r>
      <w:r>
        <w:rPr>
          <w:rFonts w:ascii="Arial" w:hAnsi="Arial" w:cs="Arial"/>
        </w:rPr>
        <w:t>______</w:t>
      </w:r>
      <w:r w:rsidRPr="00F24C54">
        <w:rPr>
          <w:rFonts w:ascii="Arial" w:hAnsi="Arial" w:cs="Arial"/>
        </w:rPr>
        <w:t xml:space="preserve">, se procede a decidir sobre el decreto y práctica de las pruebas solicitadas por el </w:t>
      </w:r>
      <w:r w:rsidRPr="004309D1">
        <w:rPr>
          <w:rFonts w:ascii="Arial" w:hAnsi="Arial" w:cs="Arial"/>
          <w:i/>
        </w:rPr>
        <w:t>(apoderado o investigado).</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lang w:val="es-ES"/>
        </w:rPr>
      </w:pPr>
      <w:r w:rsidRPr="00F24C54">
        <w:rPr>
          <w:rFonts w:ascii="Arial" w:hAnsi="Arial" w:cs="Arial"/>
          <w:color w:val="000000"/>
          <w:lang w:val="es-ES"/>
        </w:rPr>
        <w:t>Con el fin de determinar si los medios probatorios solicitados por el sujeto procesal cumplen con las categorías de conducencia, pertinencia y utilidad, es necesario evocar los conceptos que sobre este tema ha desarrollado la doctrina nacional, para así concluir la procedencia o improcedencia de su práctica, en armonía con el ordenamiento jurídico que los contempla y en relación con el objeto del proceso disciplinario que se adelanta.</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lang w:val="es-ES"/>
        </w:rPr>
      </w:pPr>
      <w:r w:rsidRPr="00F24C54">
        <w:rPr>
          <w:rFonts w:ascii="Arial" w:hAnsi="Arial" w:cs="Arial"/>
          <w:color w:val="000000"/>
          <w:lang w:val="es-ES"/>
        </w:rPr>
        <w:lastRenderedPageBreak/>
        <w:t xml:space="preserve">De esta manera, por conducencia se comprende </w:t>
      </w:r>
      <w:r w:rsidRPr="00F24C54">
        <w:rPr>
          <w:rFonts w:ascii="Arial" w:hAnsi="Arial" w:cs="Arial"/>
          <w:color w:val="000000"/>
          <w:sz w:val="18"/>
          <w:lang w:val="es-ES"/>
        </w:rPr>
        <w:t>“</w:t>
      </w:r>
      <w:r w:rsidRPr="00F24C54">
        <w:rPr>
          <w:rFonts w:ascii="Arial" w:hAnsi="Arial" w:cs="Arial"/>
          <w:i/>
          <w:iCs/>
          <w:color w:val="000000"/>
          <w:sz w:val="18"/>
          <w:lang w:val="es-ES"/>
        </w:rPr>
        <w:t>(…) la idoneidad legal que debe tener la prueba para demostrar determinado hecho. Supone que no exista norma legal que prohíba el empleo del medio para demostrar un hecho determinado, el sistema de la prueba legal, de otra parte, supone que el medio que se emplea, para demostrar el hecho, está consagrado en la ley. La conducencia es una comparación entre el medio probatorio y la ley, a fin de saber si el hecho se puede demostrar en el proceso, con el empleo de ese medio probatorio.</w:t>
      </w:r>
      <w:r w:rsidRPr="00F24C54">
        <w:rPr>
          <w:rFonts w:ascii="Arial" w:hAnsi="Arial" w:cs="Arial"/>
          <w:color w:val="000000"/>
          <w:sz w:val="18"/>
          <w:lang w:val="es-ES"/>
        </w:rPr>
        <w:t>”</w:t>
      </w:r>
      <w:r w:rsidRPr="00F24C54">
        <w:rPr>
          <w:rStyle w:val="Refdenotaalpie"/>
          <w:rFonts w:ascii="Arial" w:hAnsi="Arial" w:cs="Arial"/>
          <w:color w:val="000000"/>
          <w:lang w:val="es-ES"/>
        </w:rPr>
        <w:footnoteReference w:id="2"/>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i/>
          <w:color w:val="000000"/>
          <w:lang w:val="es-ES"/>
        </w:rPr>
      </w:pPr>
      <w:r w:rsidRPr="00F24C54">
        <w:rPr>
          <w:rFonts w:ascii="Arial" w:hAnsi="Arial" w:cs="Arial"/>
          <w:color w:val="000000"/>
          <w:lang w:val="es-ES"/>
        </w:rPr>
        <w:t xml:space="preserve">Por su parte, la Pertinencia es la: </w:t>
      </w:r>
      <w:r w:rsidRPr="00F24C54">
        <w:rPr>
          <w:rFonts w:ascii="Arial" w:hAnsi="Arial" w:cs="Arial"/>
          <w:i/>
          <w:color w:val="000000"/>
          <w:sz w:val="18"/>
          <w:lang w:val="es-ES"/>
        </w:rPr>
        <w:t>“</w:t>
      </w:r>
      <w:r w:rsidRPr="00F24C54">
        <w:rPr>
          <w:rFonts w:ascii="Arial" w:hAnsi="Arial" w:cs="Arial"/>
          <w:i/>
          <w:iCs/>
          <w:color w:val="000000"/>
          <w:sz w:val="18"/>
          <w:lang w:val="es-ES"/>
        </w:rPr>
        <w:t>(…) adecuación entre los hechos que se pretenden llevar al proceso y los hechos que son tema de la prueba en éste. En otras palabras, es la relación de facto entre los hechos que se pretenden demostrar y el tema del proceso.</w:t>
      </w:r>
      <w:r w:rsidRPr="00F24C54">
        <w:rPr>
          <w:rFonts w:ascii="Arial" w:hAnsi="Arial" w:cs="Arial"/>
          <w:i/>
          <w:color w:val="000000"/>
          <w:sz w:val="18"/>
          <w:lang w:val="es-ES"/>
        </w:rPr>
        <w:t>”</w:t>
      </w:r>
      <w:r w:rsidRPr="00F24C54">
        <w:rPr>
          <w:rStyle w:val="Refdenotaalpie"/>
          <w:rFonts w:ascii="Arial" w:hAnsi="Arial" w:cs="Arial"/>
          <w:i/>
          <w:color w:val="000000"/>
          <w:sz w:val="18"/>
          <w:lang w:val="es-ES"/>
        </w:rPr>
        <w:footnoteReference w:id="3"/>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lang w:val="es-ES"/>
        </w:rPr>
      </w:pPr>
      <w:r w:rsidRPr="00F24C54">
        <w:rPr>
          <w:rFonts w:ascii="Arial" w:hAnsi="Arial" w:cs="Arial"/>
          <w:color w:val="000000"/>
          <w:lang w:val="es-ES"/>
        </w:rPr>
        <w:t xml:space="preserve">En cuanto al concepto de Utilidad, por este se deduce que </w:t>
      </w:r>
      <w:r w:rsidRPr="00F24C54">
        <w:rPr>
          <w:rFonts w:ascii="Arial" w:hAnsi="Arial" w:cs="Arial"/>
          <w:i/>
          <w:color w:val="000000"/>
          <w:sz w:val="18"/>
          <w:lang w:val="es-ES"/>
        </w:rPr>
        <w:t>“</w:t>
      </w:r>
      <w:r w:rsidRPr="00F24C54">
        <w:rPr>
          <w:rFonts w:ascii="Arial" w:hAnsi="Arial" w:cs="Arial"/>
          <w:i/>
          <w:iCs/>
          <w:color w:val="000000"/>
          <w:sz w:val="18"/>
          <w:lang w:val="es-ES"/>
        </w:rPr>
        <w:t xml:space="preserve">(…) las pruebas allegadas al proceso deben prestar algún servicio en el mismo que conduzca a la convicción del juez, de tal manera, </w:t>
      </w:r>
      <w:proofErr w:type="gramStart"/>
      <w:r w:rsidRPr="00F24C54">
        <w:rPr>
          <w:rFonts w:ascii="Arial" w:hAnsi="Arial" w:cs="Arial"/>
          <w:i/>
          <w:iCs/>
          <w:color w:val="000000"/>
          <w:sz w:val="18"/>
          <w:lang w:val="es-ES"/>
        </w:rPr>
        <w:t>que</w:t>
      </w:r>
      <w:proofErr w:type="gramEnd"/>
      <w:r w:rsidRPr="00F24C54">
        <w:rPr>
          <w:rFonts w:ascii="Arial" w:hAnsi="Arial" w:cs="Arial"/>
          <w:i/>
          <w:iCs/>
          <w:color w:val="000000"/>
          <w:sz w:val="18"/>
          <w:lang w:val="es-ES"/>
        </w:rPr>
        <w:t xml:space="preserve"> si una prueba que se pretende aducir no tiene ese propósito, debe ser rechazada de plano por aquel. (…) En términos generales, se puede decir que la prueba es inútil cuando sobra, por no ser idónea, no en sí misma sino con relación a la utilidad que le debe prestar al proceso, ya que este sólo puede recaudar las pruebas necesarias para el pronunciamiento del fallo. Si nos valiéramos de una metáfora, podríamos decir que el proceso debe consumir las pruebas que le sean absolutamente necesarias para el pronunciamiento del fallo y que no puede darse el lujo de recaudar pruebas que sobren, superfluas, redundantes o corroborantes, cuando esto no sea absolutamente necesario (…).</w:t>
      </w:r>
      <w:r w:rsidRPr="00F24C54">
        <w:rPr>
          <w:rFonts w:ascii="Arial" w:hAnsi="Arial" w:cs="Arial"/>
          <w:i/>
          <w:color w:val="000000"/>
          <w:lang w:val="es-ES"/>
        </w:rPr>
        <w:t>”</w:t>
      </w:r>
      <w:r w:rsidRPr="00F24C54">
        <w:rPr>
          <w:rStyle w:val="Refdenotaalpie"/>
          <w:rFonts w:ascii="Arial" w:hAnsi="Arial" w:cs="Arial"/>
          <w:i/>
          <w:color w:val="000000"/>
          <w:lang w:val="es-ES"/>
        </w:rPr>
        <w:footnoteReference w:id="4"/>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lang w:val="es-ES"/>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sidRPr="00F24C54">
        <w:rPr>
          <w:rFonts w:ascii="Arial" w:hAnsi="Arial" w:cs="Arial"/>
          <w:color w:val="000000"/>
          <w:lang w:val="es-ES"/>
        </w:rPr>
        <w:t xml:space="preserve">Posterior a lo transcrito, es relevante concluir, si de acuerdo con los conceptos de conducencia, pertinencia y utilidad, los medios probatorios solicitados a practicar por el sujeto procesal son concordantes con el ordenamiento jurídico; útiles para el proceso o aptos para </w:t>
      </w:r>
      <w:r w:rsidRPr="00F24C54">
        <w:rPr>
          <w:rFonts w:ascii="Arial" w:hAnsi="Arial" w:cs="Arial"/>
          <w:color w:val="000000"/>
          <w:sz w:val="18"/>
          <w:lang w:val="es-ES"/>
        </w:rPr>
        <w:t>“</w:t>
      </w:r>
      <w:r w:rsidRPr="00F24C54">
        <w:rPr>
          <w:rFonts w:ascii="Arial" w:hAnsi="Arial" w:cs="Arial"/>
          <w:i/>
          <w:iCs/>
          <w:color w:val="000000"/>
          <w:sz w:val="18"/>
          <w:lang w:val="es-ES"/>
        </w:rPr>
        <w:t>llevarnos a la verdad sobre los hechos objeto de procesamiento, que a su vez son los únicos pertinentes. Son dos caracteres inseparables, porque si la prueba nos guía a establecer hechos completamente ajenos al proceso, no solo es impertinente, sino que también resulta inconducente, pues se ha separado drásticamente del único objeto señalado en el proceso como plan de acción. La conducencia solo puede apreciarse a través de una relación de la prueba con los hechos (pertinencia) (…)</w:t>
      </w:r>
      <w:r w:rsidRPr="00F24C54">
        <w:rPr>
          <w:rFonts w:ascii="Arial" w:hAnsi="Arial" w:cs="Arial"/>
          <w:color w:val="000000"/>
          <w:sz w:val="18"/>
          <w:lang w:val="es-ES"/>
        </w:rPr>
        <w:t>”</w:t>
      </w:r>
      <w:r w:rsidRPr="00F24C54">
        <w:rPr>
          <w:rStyle w:val="Refdenotaalpie"/>
          <w:rFonts w:ascii="Arial" w:hAnsi="Arial" w:cs="Arial"/>
          <w:color w:val="000000"/>
          <w:sz w:val="18"/>
          <w:lang w:val="es-ES"/>
        </w:rPr>
        <w:footnoteReference w:id="5"/>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rPr>
      </w:pPr>
      <w:r w:rsidRPr="00F24C54">
        <w:rPr>
          <w:rFonts w:ascii="Arial" w:hAnsi="Arial" w:cs="Arial"/>
          <w:color w:val="000000"/>
          <w:lang w:val="es-ES"/>
        </w:rPr>
        <w:t xml:space="preserve">Con este contexto, este despacho estima que, los documentos solicitados por el </w:t>
      </w:r>
      <w:r w:rsidRPr="004309D1">
        <w:rPr>
          <w:rFonts w:ascii="Arial" w:hAnsi="Arial" w:cs="Arial"/>
          <w:i/>
          <w:color w:val="000000"/>
          <w:lang w:val="es-ES"/>
        </w:rPr>
        <w:t>(apoderado o investigado)</w:t>
      </w:r>
      <w:r>
        <w:rPr>
          <w:rFonts w:ascii="Arial" w:hAnsi="Arial" w:cs="Arial"/>
          <w:color w:val="000000"/>
          <w:lang w:val="es-ES"/>
        </w:rPr>
        <w:t xml:space="preserve"> son conducentes, pertinentes y útiles al proceso debido a que (análisis de los argumentos por los que cada una de las pruebas gozan de </w:t>
      </w:r>
      <w:r>
        <w:rPr>
          <w:rFonts w:ascii="Arial" w:hAnsi="Arial" w:cs="Arial"/>
        </w:rPr>
        <w:t>pertinencia, conducencia</w:t>
      </w:r>
      <w:r w:rsidRPr="00F24C54">
        <w:rPr>
          <w:rFonts w:ascii="Arial" w:hAnsi="Arial" w:cs="Arial"/>
        </w:rPr>
        <w:t xml:space="preserve"> y utilidad al presente proceso disciplinario</w:t>
      </w:r>
      <w:r>
        <w:rPr>
          <w:rFonts w:ascii="Arial" w:hAnsi="Arial" w:cs="Arial"/>
        </w:rPr>
        <w:t>)</w:t>
      </w:r>
      <w:r w:rsidRPr="00F24C54">
        <w:rPr>
          <w:rFonts w:ascii="Arial" w:hAnsi="Arial" w:cs="Arial"/>
        </w:rPr>
        <w:t xml:space="preserve">, </w:t>
      </w:r>
    </w:p>
    <w:p w:rsidR="00077EE4" w:rsidRPr="00F24C54" w:rsidRDefault="00077EE4" w:rsidP="00077EE4">
      <w:pPr>
        <w:widowControl w:val="0"/>
        <w:autoSpaceDE w:val="0"/>
        <w:autoSpaceDN w:val="0"/>
        <w:adjustRightInd w:val="0"/>
        <w:spacing w:after="0" w:line="240" w:lineRule="atLeast"/>
        <w:jc w:val="both"/>
        <w:rPr>
          <w:rFonts w:ascii="Arial" w:hAnsi="Arial" w:cs="Arial"/>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sidRPr="00F24C54">
        <w:rPr>
          <w:rFonts w:ascii="Arial" w:hAnsi="Arial" w:cs="Arial"/>
        </w:rPr>
        <w:t xml:space="preserve">Por consiguiente, este censor considera menester decretar como pruebas documentales solicitadas por el </w:t>
      </w:r>
      <w:r w:rsidRPr="0090309E">
        <w:rPr>
          <w:rFonts w:ascii="Arial" w:hAnsi="Arial" w:cs="Arial"/>
          <w:i/>
        </w:rPr>
        <w:t xml:space="preserve">(apoderado o investigado) </w:t>
      </w:r>
      <w:r w:rsidRPr="00F24C54">
        <w:rPr>
          <w:rFonts w:ascii="Arial" w:hAnsi="Arial" w:cs="Arial"/>
        </w:rPr>
        <w:t>las siguientes:</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1._____________________</w:t>
      </w: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2._____________________</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w:t>
      </w: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sidRPr="00F24C54">
        <w:rPr>
          <w:rFonts w:ascii="Arial" w:hAnsi="Arial" w:cs="Arial"/>
          <w:color w:val="000000"/>
        </w:rPr>
        <w:t>Adicionalmente, atendiendo el tema de prueba del presente proceso, este despacho considera pertinente, conducente y útil decretar de oficio las siguientes pruebas:</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1._____________________</w:t>
      </w: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2._____________________</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w:t>
      </w:r>
    </w:p>
    <w:p w:rsidR="00077EE4" w:rsidRPr="00F24C54" w:rsidRDefault="00077EE4" w:rsidP="00077EE4">
      <w:pPr>
        <w:widowControl w:val="0"/>
        <w:autoSpaceDE w:val="0"/>
        <w:autoSpaceDN w:val="0"/>
        <w:adjustRightInd w:val="0"/>
        <w:spacing w:after="0" w:line="240" w:lineRule="atLeast"/>
        <w:jc w:val="both"/>
        <w:rPr>
          <w:rFonts w:ascii="Arial" w:hAnsi="Arial" w:cs="Arial"/>
        </w:rPr>
      </w:pPr>
    </w:p>
    <w:p w:rsidR="00077EE4" w:rsidRPr="00F24C54" w:rsidRDefault="00077EE4" w:rsidP="00077EE4">
      <w:pPr>
        <w:widowControl w:val="0"/>
        <w:autoSpaceDE w:val="0"/>
        <w:autoSpaceDN w:val="0"/>
        <w:adjustRightInd w:val="0"/>
        <w:spacing w:after="0" w:line="240" w:lineRule="atLeast"/>
        <w:jc w:val="both"/>
        <w:rPr>
          <w:rFonts w:ascii="Arial" w:hAnsi="Arial" w:cs="Arial"/>
          <w:lang w:val="es-MX"/>
        </w:rPr>
      </w:pPr>
      <w:r w:rsidRPr="00F24C54">
        <w:rPr>
          <w:rFonts w:ascii="Arial" w:hAnsi="Arial" w:cs="Arial"/>
        </w:rPr>
        <w:t>Ahora bien, para efectos de la practica probatoria antes decretada, este Secretario General considera menester aplicar el artículo</w:t>
      </w:r>
      <w:r w:rsidRPr="00F24C54">
        <w:rPr>
          <w:rFonts w:ascii="Arial" w:hAnsi="Arial" w:cs="Arial"/>
          <w:lang w:val="es-MX"/>
        </w:rPr>
        <w:t xml:space="preserve"> 133 de la Ley 734 de 2002 que señala: </w:t>
      </w:r>
    </w:p>
    <w:p w:rsidR="00077EE4" w:rsidRPr="00F24C54" w:rsidRDefault="00077EE4" w:rsidP="00077EE4">
      <w:pPr>
        <w:widowControl w:val="0"/>
        <w:autoSpaceDE w:val="0"/>
        <w:autoSpaceDN w:val="0"/>
        <w:adjustRightInd w:val="0"/>
        <w:spacing w:after="0" w:line="240" w:lineRule="atLeast"/>
        <w:jc w:val="both"/>
        <w:rPr>
          <w:rFonts w:ascii="Arial" w:hAnsi="Arial" w:cs="Arial"/>
          <w:lang w:val="es-MX"/>
        </w:rPr>
      </w:pPr>
    </w:p>
    <w:p w:rsidR="00077EE4" w:rsidRPr="00F24C54" w:rsidRDefault="00077EE4" w:rsidP="00077EE4">
      <w:pPr>
        <w:widowControl w:val="0"/>
        <w:autoSpaceDE w:val="0"/>
        <w:autoSpaceDN w:val="0"/>
        <w:adjustRightInd w:val="0"/>
        <w:spacing w:after="0" w:line="240" w:lineRule="atLeast"/>
        <w:ind w:left="708" w:right="565"/>
        <w:jc w:val="both"/>
        <w:rPr>
          <w:rFonts w:ascii="Arial" w:hAnsi="Arial" w:cs="Arial"/>
          <w:i/>
          <w:sz w:val="18"/>
          <w:lang w:val="es-ES"/>
        </w:rPr>
      </w:pPr>
      <w:r w:rsidRPr="00F24C54">
        <w:rPr>
          <w:rFonts w:ascii="Arial" w:hAnsi="Arial" w:cs="Arial"/>
          <w:i/>
          <w:sz w:val="18"/>
          <w:lang w:val="es-ES"/>
        </w:rPr>
        <w:t>“</w:t>
      </w:r>
      <w:r w:rsidRPr="00F24C54">
        <w:rPr>
          <w:rFonts w:ascii="Arial" w:hAnsi="Arial" w:cs="Arial"/>
          <w:b/>
          <w:i/>
          <w:sz w:val="18"/>
          <w:lang w:val="es-ES"/>
        </w:rPr>
        <w:t>Art 133.</w:t>
      </w:r>
      <w:r w:rsidRPr="00F24C54">
        <w:rPr>
          <w:rFonts w:ascii="Arial" w:hAnsi="Arial" w:cs="Arial"/>
          <w:i/>
          <w:sz w:val="18"/>
          <w:lang w:val="es-ES"/>
        </w:rPr>
        <w:t xml:space="preserve"> </w:t>
      </w:r>
      <w:r w:rsidRPr="00F24C54">
        <w:rPr>
          <w:rFonts w:ascii="Arial" w:hAnsi="Arial" w:cs="Arial"/>
          <w:b/>
          <w:i/>
          <w:sz w:val="18"/>
          <w:lang w:val="es-ES"/>
        </w:rPr>
        <w:t>Práctica de pruebas por comisionado</w:t>
      </w:r>
      <w:r w:rsidRPr="00F24C54">
        <w:rPr>
          <w:rFonts w:ascii="Arial" w:hAnsi="Arial" w:cs="Arial"/>
          <w:i/>
          <w:sz w:val="18"/>
          <w:lang w:val="es-ES"/>
        </w:rPr>
        <w:t>. El funcionario competente podrá comisionar para la práctica de pruebas a otro servidor público de igual o inferior categoría de la misma entidad o de las personerías distritales o municipales.</w:t>
      </w:r>
    </w:p>
    <w:p w:rsidR="00077EE4" w:rsidRPr="00F24C54" w:rsidRDefault="00077EE4" w:rsidP="00077EE4">
      <w:pPr>
        <w:widowControl w:val="0"/>
        <w:autoSpaceDE w:val="0"/>
        <w:autoSpaceDN w:val="0"/>
        <w:adjustRightInd w:val="0"/>
        <w:spacing w:after="0" w:line="240" w:lineRule="atLeast"/>
        <w:ind w:left="708" w:right="565"/>
        <w:jc w:val="both"/>
        <w:rPr>
          <w:rFonts w:ascii="Arial" w:hAnsi="Arial" w:cs="Arial"/>
          <w:i/>
          <w:sz w:val="18"/>
          <w:lang w:val="es-ES"/>
        </w:rPr>
      </w:pPr>
      <w:r w:rsidRPr="00F24C54">
        <w:rPr>
          <w:rFonts w:ascii="Arial" w:hAnsi="Arial" w:cs="Arial"/>
          <w:i/>
          <w:sz w:val="18"/>
          <w:lang w:val="es-ES"/>
        </w:rPr>
        <w:t>(…)”</w:t>
      </w:r>
    </w:p>
    <w:p w:rsidR="00077EE4" w:rsidRPr="00F24C54" w:rsidRDefault="00077EE4" w:rsidP="00077EE4">
      <w:pPr>
        <w:widowControl w:val="0"/>
        <w:autoSpaceDE w:val="0"/>
        <w:autoSpaceDN w:val="0"/>
        <w:adjustRightInd w:val="0"/>
        <w:spacing w:after="0" w:line="240" w:lineRule="atLeast"/>
        <w:jc w:val="both"/>
        <w:rPr>
          <w:rFonts w:ascii="Arial" w:hAnsi="Arial" w:cs="Arial"/>
        </w:rPr>
      </w:pPr>
    </w:p>
    <w:p w:rsidR="00077EE4" w:rsidRPr="00F24C54" w:rsidRDefault="00077EE4" w:rsidP="00077EE4">
      <w:pPr>
        <w:widowControl w:val="0"/>
        <w:autoSpaceDE w:val="0"/>
        <w:autoSpaceDN w:val="0"/>
        <w:adjustRightInd w:val="0"/>
        <w:spacing w:after="0" w:line="240" w:lineRule="atLeast"/>
        <w:jc w:val="both"/>
        <w:rPr>
          <w:rFonts w:ascii="Arial" w:hAnsi="Arial" w:cs="Arial"/>
        </w:rPr>
      </w:pPr>
      <w:r w:rsidRPr="00F24C54">
        <w:rPr>
          <w:rFonts w:ascii="Arial" w:hAnsi="Arial" w:cs="Arial"/>
        </w:rPr>
        <w:t xml:space="preserve">Por </w:t>
      </w:r>
      <w:r>
        <w:rPr>
          <w:rFonts w:ascii="Arial" w:hAnsi="Arial" w:cs="Arial"/>
        </w:rPr>
        <w:t>ende</w:t>
      </w:r>
      <w:r w:rsidRPr="00F24C54">
        <w:rPr>
          <w:rFonts w:ascii="Arial" w:hAnsi="Arial" w:cs="Arial"/>
        </w:rPr>
        <w:t xml:space="preserve">, </w:t>
      </w:r>
      <w:r w:rsidRPr="00F24C54">
        <w:rPr>
          <w:rFonts w:ascii="Arial" w:hAnsi="Arial" w:cs="Arial"/>
          <w:lang w:val="es-ES_tradnl"/>
        </w:rPr>
        <w:t>p</w:t>
      </w:r>
      <w:r w:rsidRPr="00F24C54">
        <w:rPr>
          <w:rFonts w:ascii="Arial" w:hAnsi="Arial" w:cs="Arial"/>
        </w:rPr>
        <w:t xml:space="preserve">ara la consecución de los fines de las actuaciones disciplinarias que se adelantan dentro del Expediente No. </w:t>
      </w:r>
      <w:r>
        <w:rPr>
          <w:rFonts w:ascii="Arial" w:hAnsi="Arial" w:cs="Arial"/>
        </w:rPr>
        <w:t>_________</w:t>
      </w:r>
      <w:r w:rsidRPr="00F24C54">
        <w:rPr>
          <w:rFonts w:ascii="Arial" w:hAnsi="Arial" w:cs="Arial"/>
        </w:rPr>
        <w:t>, se</w:t>
      </w:r>
      <w:r w:rsidRPr="00F24C54">
        <w:rPr>
          <w:rFonts w:ascii="Arial" w:hAnsi="Arial" w:cs="Arial"/>
          <w:bCs/>
        </w:rPr>
        <w:t xml:space="preserve"> hace necesario comisionar a </w:t>
      </w:r>
      <w:r w:rsidRPr="0090309E">
        <w:rPr>
          <w:rFonts w:ascii="Arial" w:hAnsi="Arial" w:cs="Arial"/>
          <w:bCs/>
        </w:rPr>
        <w:t>______________________,</w:t>
      </w:r>
      <w:r w:rsidRPr="00F24C54">
        <w:rPr>
          <w:rFonts w:ascii="Arial" w:hAnsi="Arial" w:cs="Arial"/>
          <w:bCs/>
        </w:rPr>
        <w:t xml:space="preserve"> prof</w:t>
      </w:r>
      <w:r w:rsidRPr="00F24C54">
        <w:rPr>
          <w:rFonts w:ascii="Arial" w:hAnsi="Arial" w:cs="Arial"/>
        </w:rPr>
        <w:t xml:space="preserve">esional </w:t>
      </w:r>
      <w:r>
        <w:rPr>
          <w:rFonts w:ascii="Arial" w:hAnsi="Arial" w:cs="Arial"/>
        </w:rPr>
        <w:t>vinculado</w:t>
      </w:r>
      <w:r w:rsidRPr="00F24C54">
        <w:rPr>
          <w:rFonts w:ascii="Arial" w:hAnsi="Arial" w:cs="Arial"/>
        </w:rPr>
        <w:t xml:space="preserve"> a esta Secretaría, para practicar las pruebas conducentes, pertinentes y útiles dentro del presente proceso.</w:t>
      </w:r>
    </w:p>
    <w:p w:rsidR="00077EE4" w:rsidRPr="00F24C54" w:rsidRDefault="00077EE4" w:rsidP="00077EE4">
      <w:pPr>
        <w:widowControl w:val="0"/>
        <w:autoSpaceDE w:val="0"/>
        <w:autoSpaceDN w:val="0"/>
        <w:adjustRightInd w:val="0"/>
        <w:spacing w:after="0" w:line="240" w:lineRule="atLeast"/>
        <w:jc w:val="both"/>
        <w:rPr>
          <w:rFonts w:ascii="Arial" w:hAnsi="Arial" w:cs="Arial"/>
        </w:rPr>
      </w:pPr>
    </w:p>
    <w:p w:rsidR="00077EE4" w:rsidRPr="00F24C54" w:rsidRDefault="00077EE4" w:rsidP="00077EE4">
      <w:pPr>
        <w:widowControl w:val="0"/>
        <w:autoSpaceDE w:val="0"/>
        <w:adjustRightInd w:val="0"/>
        <w:spacing w:after="0"/>
        <w:ind w:right="16"/>
        <w:jc w:val="both"/>
        <w:rPr>
          <w:rFonts w:ascii="Arial" w:hAnsi="Arial" w:cs="Arial"/>
          <w:color w:val="000000"/>
        </w:rPr>
      </w:pPr>
      <w:r w:rsidRPr="00F24C54">
        <w:rPr>
          <w:rFonts w:ascii="Arial" w:hAnsi="Arial" w:cs="Arial"/>
          <w:color w:val="000000"/>
        </w:rPr>
        <w:t xml:space="preserve">En mérito de lo expuesto, la Secretaría General de la Escuela Tecnológica Instituto Técnico Central, </w:t>
      </w:r>
    </w:p>
    <w:p w:rsidR="00077EE4" w:rsidRPr="00F24C54" w:rsidRDefault="00077EE4" w:rsidP="00077EE4">
      <w:pPr>
        <w:widowControl w:val="0"/>
        <w:autoSpaceDE w:val="0"/>
        <w:autoSpaceDN w:val="0"/>
        <w:adjustRightInd w:val="0"/>
        <w:spacing w:after="0" w:line="240" w:lineRule="atLeast"/>
        <w:jc w:val="center"/>
        <w:rPr>
          <w:rFonts w:ascii="Arial" w:hAnsi="Arial" w:cs="Arial"/>
          <w:b/>
          <w:bCs/>
          <w:color w:val="000000"/>
        </w:rPr>
      </w:pPr>
      <w:r w:rsidRPr="00F24C54">
        <w:rPr>
          <w:rFonts w:ascii="Arial" w:hAnsi="Arial" w:cs="Arial"/>
          <w:b/>
          <w:bCs/>
          <w:color w:val="000000"/>
        </w:rPr>
        <w:t>RESUELVE</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sidRPr="00F24C54">
        <w:rPr>
          <w:rFonts w:ascii="Arial" w:hAnsi="Arial" w:cs="Arial"/>
          <w:b/>
          <w:color w:val="000000"/>
        </w:rPr>
        <w:t>PRIMERO</w:t>
      </w:r>
      <w:r w:rsidRPr="00F24C54">
        <w:rPr>
          <w:rFonts w:ascii="Arial" w:hAnsi="Arial" w:cs="Arial"/>
          <w:color w:val="000000"/>
        </w:rPr>
        <w:t xml:space="preserve">. Decretar y practicar como pruebas dentro del Proceso Disciplinario No. </w:t>
      </w:r>
      <w:r>
        <w:rPr>
          <w:rFonts w:ascii="Arial" w:hAnsi="Arial" w:cs="Arial"/>
          <w:color w:val="000000"/>
        </w:rPr>
        <w:t>_______________</w:t>
      </w:r>
      <w:r w:rsidRPr="00F24C54">
        <w:rPr>
          <w:rFonts w:ascii="Arial" w:hAnsi="Arial" w:cs="Arial"/>
          <w:color w:val="000000"/>
        </w:rPr>
        <w:t>, de conformidad con la parte motiva de esta providencia, las siguientes:</w:t>
      </w: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1._____________________</w:t>
      </w: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2._____________________</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b/>
          <w:color w:val="000000"/>
        </w:rPr>
      </w:pPr>
      <w:r w:rsidRPr="00F24C54">
        <w:rPr>
          <w:rFonts w:ascii="Arial" w:hAnsi="Arial" w:cs="Arial"/>
          <w:b/>
          <w:color w:val="000000"/>
        </w:rPr>
        <w:t>SEGUNDO</w:t>
      </w:r>
      <w:r w:rsidRPr="00F24C54">
        <w:rPr>
          <w:rFonts w:ascii="Arial" w:hAnsi="Arial" w:cs="Arial"/>
          <w:color w:val="000000"/>
        </w:rPr>
        <w:t>. De oficio decrétese la práctica de las siguientes pruebas, de conformidad con la parte motiva de esta providencia.</w:t>
      </w: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1._____________________</w:t>
      </w:r>
    </w:p>
    <w:p w:rsidR="00077EE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2._____________________</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Pr>
          <w:rFonts w:ascii="Arial" w:hAnsi="Arial" w:cs="Arial"/>
          <w:color w:val="000000"/>
        </w:rPr>
        <w:t>(…)</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sidRPr="00F24C54">
        <w:rPr>
          <w:rFonts w:ascii="Arial" w:hAnsi="Arial" w:cs="Arial"/>
          <w:b/>
          <w:color w:val="000000"/>
        </w:rPr>
        <w:t>TERCERO</w:t>
      </w:r>
      <w:r w:rsidRPr="00F24C54">
        <w:rPr>
          <w:rFonts w:ascii="Arial" w:hAnsi="Arial" w:cs="Arial"/>
          <w:b/>
          <w:bCs/>
          <w:color w:val="000000"/>
        </w:rPr>
        <w:t>.</w:t>
      </w:r>
      <w:r w:rsidRPr="00F24C54">
        <w:rPr>
          <w:rFonts w:ascii="Arial" w:hAnsi="Arial" w:cs="Arial"/>
          <w:color w:val="000000"/>
        </w:rPr>
        <w:t xml:space="preserve"> Notificar al investigado o su apoderado de las pruebas ordenadas para que ejerza sus derechos de contradicción, defensa y si lo considera, participe en la práctica de las mismas. </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sidRPr="00F24C54">
        <w:rPr>
          <w:rFonts w:ascii="Arial" w:hAnsi="Arial" w:cs="Arial"/>
          <w:b/>
          <w:color w:val="000000"/>
        </w:rPr>
        <w:t>CUARTO</w:t>
      </w:r>
      <w:r w:rsidRPr="00F24C54">
        <w:rPr>
          <w:rFonts w:ascii="Arial" w:hAnsi="Arial" w:cs="Arial"/>
          <w:color w:val="000000"/>
        </w:rPr>
        <w:t>.</w:t>
      </w:r>
      <w:r w:rsidRPr="00F24C54">
        <w:rPr>
          <w:rFonts w:ascii="Calibri" w:hAnsi="Calibri" w:cs="Arial"/>
        </w:rPr>
        <w:t xml:space="preserve"> </w:t>
      </w:r>
      <w:r w:rsidRPr="00F24C54">
        <w:rPr>
          <w:rFonts w:ascii="Arial" w:hAnsi="Arial" w:cs="Arial"/>
          <w:color w:val="000000"/>
        </w:rPr>
        <w:t xml:space="preserve">Comisionar al profesional </w:t>
      </w:r>
      <w:r>
        <w:rPr>
          <w:rFonts w:ascii="Arial" w:hAnsi="Arial" w:cs="Arial"/>
          <w:bCs/>
        </w:rPr>
        <w:t>___________________________</w:t>
      </w:r>
      <w:r w:rsidRPr="00F24C54">
        <w:rPr>
          <w:rFonts w:ascii="Arial" w:hAnsi="Arial" w:cs="Arial"/>
          <w:color w:val="000000"/>
        </w:rPr>
        <w:t>, para que en la presente actuación disciplinaria practique las diligencias decretadas, de acuerdo con el artículo 133 del Código Disciplinario Único y en los términos del artículo 168 de la Ley 734 de 2002</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r w:rsidRPr="00F24C54">
        <w:rPr>
          <w:rFonts w:ascii="Arial" w:hAnsi="Arial" w:cs="Arial"/>
          <w:b/>
          <w:color w:val="000000"/>
        </w:rPr>
        <w:t>QUINTO</w:t>
      </w:r>
      <w:r w:rsidRPr="00F24C54">
        <w:rPr>
          <w:rFonts w:ascii="Arial" w:hAnsi="Arial" w:cs="Arial"/>
          <w:color w:val="000000"/>
        </w:rPr>
        <w:t xml:space="preserve">. Contra la presente decisión, en cuanto a la negación de pruebas, procede el recurso de apelación, de conformidad con el artículo 115 de la Ley 734 de 2002 </w:t>
      </w:r>
    </w:p>
    <w:p w:rsidR="00077EE4" w:rsidRPr="00F24C54" w:rsidRDefault="00077EE4" w:rsidP="00077EE4">
      <w:pPr>
        <w:widowControl w:val="0"/>
        <w:autoSpaceDE w:val="0"/>
        <w:autoSpaceDN w:val="0"/>
        <w:adjustRightInd w:val="0"/>
        <w:spacing w:after="0" w:line="240" w:lineRule="atLeast"/>
        <w:jc w:val="both"/>
        <w:rPr>
          <w:rFonts w:ascii="Arial" w:hAnsi="Arial" w:cs="Arial"/>
          <w:color w:val="000000"/>
        </w:rPr>
      </w:pPr>
    </w:p>
    <w:p w:rsidR="00077EE4" w:rsidRPr="00F24C54" w:rsidRDefault="00077EE4" w:rsidP="00077EE4">
      <w:pPr>
        <w:jc w:val="both"/>
        <w:rPr>
          <w:rFonts w:ascii="Arial" w:hAnsi="Arial" w:cs="Arial"/>
        </w:rPr>
      </w:pPr>
      <w:r w:rsidRPr="00F24C54">
        <w:rPr>
          <w:rFonts w:ascii="Arial" w:hAnsi="Arial" w:cs="Arial"/>
          <w:b/>
        </w:rPr>
        <w:t>SEXTO.</w:t>
      </w:r>
      <w:r w:rsidRPr="00F24C54">
        <w:rPr>
          <w:rFonts w:ascii="Arial" w:hAnsi="Arial" w:cs="Arial"/>
        </w:rPr>
        <w:t xml:space="preserve"> Comunicar a los sujetos procesales sobre el lugar, fecha y hora de la práctica de las pruebas para que ejerzan su derecho de contradicción y defensa.</w:t>
      </w:r>
    </w:p>
    <w:p w:rsidR="00077EE4" w:rsidRDefault="00077EE4" w:rsidP="00077EE4">
      <w:pPr>
        <w:jc w:val="both"/>
        <w:rPr>
          <w:rFonts w:ascii="Arial" w:hAnsi="Arial" w:cs="Arial"/>
        </w:rPr>
      </w:pPr>
      <w:r w:rsidRPr="00F24C54">
        <w:rPr>
          <w:rFonts w:ascii="Arial" w:hAnsi="Arial" w:cs="Arial"/>
          <w:b/>
        </w:rPr>
        <w:t>SÉPTIMO</w:t>
      </w:r>
      <w:r w:rsidRPr="00F24C54">
        <w:rPr>
          <w:rFonts w:ascii="Arial" w:hAnsi="Arial" w:cs="Arial"/>
        </w:rPr>
        <w:t>. Líbrense los oficios que sean necesarios para el cumplimiento del presente proveído.</w:t>
      </w:r>
    </w:p>
    <w:p w:rsidR="000B3DA9" w:rsidRDefault="000B3DA9" w:rsidP="00077EE4">
      <w:pPr>
        <w:jc w:val="both"/>
        <w:rPr>
          <w:rFonts w:ascii="Arial" w:hAnsi="Arial" w:cs="Arial"/>
        </w:rPr>
      </w:pPr>
    </w:p>
    <w:p w:rsidR="000B3DA9" w:rsidRDefault="000B3DA9" w:rsidP="00077EE4">
      <w:pPr>
        <w:jc w:val="both"/>
        <w:rPr>
          <w:rFonts w:ascii="Arial" w:hAnsi="Arial" w:cs="Arial"/>
        </w:rPr>
      </w:pPr>
    </w:p>
    <w:p w:rsidR="000B3DA9" w:rsidRDefault="000B3DA9" w:rsidP="00077EE4">
      <w:pPr>
        <w:jc w:val="both"/>
        <w:rPr>
          <w:rFonts w:ascii="Arial" w:hAnsi="Arial" w:cs="Arial"/>
        </w:rPr>
      </w:pPr>
    </w:p>
    <w:p w:rsidR="000B3DA9" w:rsidRPr="009D0D71" w:rsidRDefault="000B3DA9" w:rsidP="00077EE4">
      <w:pPr>
        <w:jc w:val="both"/>
        <w:rPr>
          <w:rFonts w:ascii="Arial" w:eastAsia="Calibri" w:hAnsi="Arial" w:cs="Arial"/>
        </w:rPr>
      </w:pPr>
    </w:p>
    <w:p w:rsidR="00077EE4" w:rsidRPr="00F24C54" w:rsidRDefault="00077EE4" w:rsidP="00077EE4">
      <w:pPr>
        <w:tabs>
          <w:tab w:val="left" w:pos="6946"/>
        </w:tabs>
        <w:spacing w:after="0" w:line="240" w:lineRule="auto"/>
        <w:ind w:right="16"/>
        <w:jc w:val="center"/>
        <w:rPr>
          <w:rFonts w:ascii="Arial" w:eastAsia="Times New Roman" w:hAnsi="Arial" w:cs="Arial"/>
          <w:b/>
          <w:color w:val="000000"/>
          <w:lang w:eastAsia="es-ES"/>
        </w:rPr>
      </w:pPr>
      <w:r w:rsidRPr="00F24C54">
        <w:rPr>
          <w:rFonts w:ascii="Arial" w:eastAsia="Times New Roman" w:hAnsi="Arial" w:cs="Arial"/>
          <w:b/>
          <w:color w:val="000000"/>
          <w:lang w:eastAsia="es-ES"/>
        </w:rPr>
        <w:lastRenderedPageBreak/>
        <w:t xml:space="preserve"> COMUNÍQUESE, NOTIFIQUESE Y CUMPLASE</w:t>
      </w:r>
    </w:p>
    <w:p w:rsidR="00077EE4" w:rsidRPr="00F24C54" w:rsidRDefault="00077EE4" w:rsidP="00077EE4">
      <w:pPr>
        <w:spacing w:after="0" w:line="240" w:lineRule="auto"/>
        <w:ind w:right="16"/>
        <w:jc w:val="center"/>
        <w:rPr>
          <w:rFonts w:ascii="Arial" w:hAnsi="Arial" w:cs="Arial"/>
          <w:b/>
        </w:rPr>
      </w:pPr>
    </w:p>
    <w:p w:rsidR="00077EE4" w:rsidRDefault="00077EE4" w:rsidP="00077EE4">
      <w:pPr>
        <w:spacing w:after="0" w:line="240" w:lineRule="auto"/>
        <w:ind w:right="16"/>
        <w:jc w:val="center"/>
        <w:rPr>
          <w:rFonts w:ascii="Arial" w:hAnsi="Arial" w:cs="Arial"/>
          <w:b/>
        </w:rPr>
      </w:pPr>
    </w:p>
    <w:p w:rsidR="00077EE4" w:rsidRPr="00F24C54" w:rsidRDefault="00077EE4" w:rsidP="00077EE4">
      <w:pPr>
        <w:spacing w:after="0" w:line="240" w:lineRule="auto"/>
        <w:ind w:right="16"/>
        <w:jc w:val="center"/>
        <w:rPr>
          <w:rFonts w:ascii="Arial" w:hAnsi="Arial" w:cs="Arial"/>
          <w:b/>
        </w:rPr>
      </w:pPr>
    </w:p>
    <w:p w:rsidR="00077EE4" w:rsidRPr="00F24C54" w:rsidRDefault="00077EE4" w:rsidP="00077EE4">
      <w:pPr>
        <w:spacing w:after="0" w:line="240" w:lineRule="auto"/>
        <w:ind w:right="16"/>
        <w:jc w:val="center"/>
        <w:rPr>
          <w:rFonts w:ascii="Arial" w:hAnsi="Arial" w:cs="Arial"/>
          <w:b/>
        </w:rPr>
      </w:pPr>
    </w:p>
    <w:p w:rsidR="00077EE4" w:rsidRPr="00F24C54" w:rsidRDefault="00077EE4" w:rsidP="00077EE4">
      <w:pPr>
        <w:spacing w:after="0" w:line="240" w:lineRule="auto"/>
        <w:ind w:right="16"/>
        <w:jc w:val="center"/>
        <w:rPr>
          <w:rFonts w:ascii="Arial" w:hAnsi="Arial" w:cs="Arial"/>
          <w:b/>
        </w:rPr>
      </w:pPr>
    </w:p>
    <w:p w:rsidR="00077EE4" w:rsidRPr="00F24C54" w:rsidRDefault="00077EE4" w:rsidP="00077EE4">
      <w:pPr>
        <w:pStyle w:val="Textoindependiente"/>
        <w:ind w:right="16"/>
        <w:jc w:val="center"/>
        <w:rPr>
          <w:rFonts w:ascii="Arial" w:hAnsi="Arial" w:cs="Arial"/>
          <w:b/>
          <w:color w:val="000000"/>
          <w:sz w:val="22"/>
          <w:szCs w:val="22"/>
          <w:lang w:val="es-419"/>
        </w:rPr>
      </w:pPr>
      <w:r>
        <w:rPr>
          <w:rFonts w:ascii="Arial" w:hAnsi="Arial" w:cs="Arial"/>
          <w:b/>
          <w:color w:val="000000"/>
          <w:sz w:val="22"/>
          <w:szCs w:val="22"/>
          <w:lang w:val="es-419"/>
        </w:rPr>
        <w:t>XXXXXXX</w:t>
      </w:r>
    </w:p>
    <w:p w:rsidR="00077EE4" w:rsidRPr="00F24C54" w:rsidRDefault="00077EE4" w:rsidP="00077EE4">
      <w:pPr>
        <w:spacing w:after="0" w:line="240" w:lineRule="auto"/>
        <w:ind w:right="16"/>
        <w:jc w:val="center"/>
        <w:rPr>
          <w:rFonts w:ascii="Arial" w:hAnsi="Arial" w:cs="Arial"/>
          <w:color w:val="000000"/>
        </w:rPr>
      </w:pPr>
      <w:r w:rsidRPr="00F24C54">
        <w:rPr>
          <w:rFonts w:ascii="Arial" w:hAnsi="Arial" w:cs="Arial"/>
          <w:color w:val="000000"/>
        </w:rPr>
        <w:t>Secretario General</w:t>
      </w:r>
    </w:p>
    <w:p w:rsidR="00077EE4" w:rsidRPr="00F24C54" w:rsidRDefault="00077EE4" w:rsidP="00077EE4">
      <w:pPr>
        <w:spacing w:after="0" w:line="240" w:lineRule="auto"/>
        <w:ind w:right="16"/>
        <w:jc w:val="center"/>
        <w:rPr>
          <w:rFonts w:ascii="Arial" w:hAnsi="Arial" w:cs="Arial"/>
          <w:color w:val="000000"/>
        </w:rPr>
      </w:pPr>
      <w:r w:rsidRPr="00F24C54">
        <w:rPr>
          <w:rFonts w:ascii="Arial" w:hAnsi="Arial" w:cs="Arial"/>
          <w:color w:val="000000"/>
        </w:rPr>
        <w:t>Escuela Tecnológica Instituto Técnico Central</w:t>
      </w:r>
    </w:p>
    <w:p w:rsidR="00E77326" w:rsidRPr="00950553" w:rsidRDefault="00E77326" w:rsidP="00253FCE">
      <w:pPr>
        <w:pStyle w:val="Textoindependiente"/>
        <w:jc w:val="center"/>
        <w:rPr>
          <w:rFonts w:ascii="Arial" w:hAnsi="Arial" w:cs="Arial"/>
          <w:b/>
          <w:color w:val="FF0000"/>
          <w:lang w:val="es-ES"/>
        </w:rPr>
      </w:pPr>
    </w:p>
    <w:p w:rsidR="00E77326" w:rsidRPr="006B0565" w:rsidRDefault="00E77326" w:rsidP="00253FCE">
      <w:pPr>
        <w:pStyle w:val="Sinespaciado"/>
        <w:jc w:val="center"/>
        <w:rPr>
          <w:rFonts w:ascii="Arial" w:hAnsi="Arial" w:cs="Arial"/>
          <w:color w:val="000000"/>
          <w:sz w:val="16"/>
          <w:szCs w:val="16"/>
          <w:lang w:val="es-CO"/>
        </w:rPr>
      </w:pPr>
    </w:p>
    <w:p w:rsidR="00116FFC" w:rsidRDefault="00116FFC" w:rsidP="00253FCE">
      <w:pPr>
        <w:spacing w:after="0" w:line="240" w:lineRule="auto"/>
        <w:rPr>
          <w:rFonts w:ascii="Arial" w:hAnsi="Arial" w:cs="Arial"/>
          <w:sz w:val="16"/>
          <w:szCs w:val="16"/>
        </w:rPr>
      </w:pPr>
      <w:r>
        <w:rPr>
          <w:rFonts w:ascii="Arial" w:hAnsi="Arial" w:cs="Arial"/>
          <w:iCs/>
          <w:sz w:val="16"/>
          <w:szCs w:val="16"/>
        </w:rPr>
        <w:t>Proyectó.</w:t>
      </w:r>
      <w:r>
        <w:rPr>
          <w:rFonts w:ascii="Arial" w:hAnsi="Arial" w:cs="Arial"/>
          <w:iCs/>
          <w:sz w:val="16"/>
          <w:szCs w:val="16"/>
        </w:rPr>
        <w:tab/>
        <w:t>(Nombre y cargo)</w:t>
      </w:r>
    </w:p>
    <w:p w:rsidR="00116FFC" w:rsidRDefault="00116FFC" w:rsidP="00253FCE">
      <w:pPr>
        <w:spacing w:after="0" w:line="240" w:lineRule="auto"/>
        <w:rPr>
          <w:rFonts w:ascii="Arial" w:hAnsi="Arial" w:cs="Arial"/>
          <w:iCs/>
          <w:sz w:val="16"/>
          <w:szCs w:val="16"/>
        </w:rPr>
      </w:pPr>
      <w:r>
        <w:rPr>
          <w:rFonts w:ascii="Arial" w:hAnsi="Arial" w:cs="Arial"/>
          <w:sz w:val="16"/>
          <w:szCs w:val="16"/>
        </w:rPr>
        <w:t>Revisó.</w:t>
      </w:r>
      <w:r>
        <w:rPr>
          <w:rFonts w:ascii="Arial" w:hAnsi="Arial" w:cs="Arial"/>
          <w:sz w:val="16"/>
          <w:szCs w:val="16"/>
        </w:rPr>
        <w:tab/>
      </w:r>
      <w:r>
        <w:rPr>
          <w:rFonts w:ascii="Arial" w:hAnsi="Arial" w:cs="Arial"/>
          <w:iCs/>
          <w:sz w:val="16"/>
          <w:szCs w:val="16"/>
        </w:rPr>
        <w:t>(Nombre y cargo)</w:t>
      </w:r>
    </w:p>
    <w:p w:rsidR="00116FFC" w:rsidRDefault="00116FFC" w:rsidP="00253FCE">
      <w:pPr>
        <w:spacing w:after="0" w:line="240" w:lineRule="auto"/>
      </w:pPr>
      <w:r>
        <w:rPr>
          <w:rFonts w:ascii="Arial" w:hAnsi="Arial" w:cs="Arial"/>
          <w:sz w:val="16"/>
          <w:szCs w:val="16"/>
        </w:rPr>
        <w:t>Aprobó.</w:t>
      </w:r>
      <w:r>
        <w:rPr>
          <w:rFonts w:ascii="Arial" w:hAnsi="Arial" w:cs="Arial"/>
          <w:sz w:val="16"/>
          <w:szCs w:val="16"/>
        </w:rPr>
        <w:tab/>
      </w:r>
      <w:r>
        <w:rPr>
          <w:rFonts w:ascii="Arial" w:hAnsi="Arial" w:cs="Arial"/>
          <w:iCs/>
          <w:sz w:val="16"/>
          <w:szCs w:val="16"/>
        </w:rPr>
        <w:t>(Nombre y cargo)</w:t>
      </w:r>
      <w:r>
        <w:t xml:space="preserve"> </w:t>
      </w:r>
    </w:p>
    <w:p w:rsidR="00116FFC" w:rsidRDefault="00116FFC" w:rsidP="00253FCE"/>
    <w:p w:rsidR="00E77326" w:rsidRDefault="00E77326" w:rsidP="00253FCE"/>
    <w:p w:rsidR="00873E74" w:rsidRDefault="007C6466" w:rsidP="00116FFC">
      <w:pPr>
        <w:ind w:right="-711"/>
      </w:pPr>
      <w:bookmarkStart w:id="0" w:name="_GoBack"/>
      <w:bookmarkEnd w:id="0"/>
    </w:p>
    <w:sectPr w:rsidR="00873E74" w:rsidSect="00253FCE">
      <w:headerReference w:type="even" r:id="rId7"/>
      <w:headerReference w:type="default" r:id="rId8"/>
      <w:footerReference w:type="default" r:id="rId9"/>
      <w:pgSz w:w="11906" w:h="16838" w:code="9"/>
      <w:pgMar w:top="2127" w:right="849" w:bottom="1418"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466" w:rsidRDefault="007C6466" w:rsidP="00E77326">
      <w:pPr>
        <w:spacing w:after="0" w:line="240" w:lineRule="auto"/>
      </w:pPr>
      <w:r>
        <w:separator/>
      </w:r>
    </w:p>
  </w:endnote>
  <w:endnote w:type="continuationSeparator" w:id="0">
    <w:p w:rsidR="007C6466" w:rsidRDefault="007C6466" w:rsidP="00E7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Layout w:type="fixed"/>
      <w:tblCellMar>
        <w:left w:w="70" w:type="dxa"/>
        <w:right w:w="70" w:type="dxa"/>
      </w:tblCellMar>
      <w:tblLook w:val="04A0" w:firstRow="1" w:lastRow="0" w:firstColumn="1" w:lastColumn="0" w:noHBand="0" w:noVBand="1"/>
    </w:tblPr>
    <w:tblGrid>
      <w:gridCol w:w="3119"/>
      <w:gridCol w:w="567"/>
      <w:gridCol w:w="2410"/>
      <w:gridCol w:w="283"/>
      <w:gridCol w:w="2693"/>
      <w:gridCol w:w="284"/>
    </w:tblGrid>
    <w:tr w:rsidR="00303605" w:rsidRPr="0054098D" w:rsidTr="00253FCE">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INTEGRIDAD</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jc w:val="center"/>
            <w:rPr>
              <w:rFonts w:ascii="Arial" w:hAnsi="Arial" w:cs="Arial"/>
              <w:b/>
              <w:sz w:val="18"/>
              <w:szCs w:val="18"/>
              <w:lang w:eastAsia="es-ES_tradnl"/>
            </w:rPr>
          </w:pPr>
          <w:r w:rsidRPr="009A1AE6">
            <w:rPr>
              <w:rFonts w:ascii="Arial" w:hAnsi="Arial" w:cs="Arial"/>
              <w:b/>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303605" w:rsidRPr="009A1AE6" w:rsidRDefault="00DE4FF7" w:rsidP="00303605">
          <w:pPr>
            <w:pStyle w:val="Sinespaciado"/>
            <w:rPr>
              <w:rFonts w:ascii="Arial" w:hAnsi="Arial" w:cs="Arial"/>
              <w:b/>
              <w:sz w:val="18"/>
              <w:szCs w:val="18"/>
              <w:lang w:eastAsia="es-ES_tradnl"/>
            </w:rPr>
          </w:pPr>
          <w:r w:rsidRPr="009A1AE6">
            <w:rPr>
              <w:rFonts w:ascii="Arial" w:hAnsi="Arial" w:cs="Arial"/>
              <w:b/>
              <w:sz w:val="18"/>
              <w:szCs w:val="18"/>
              <w:lang w:eastAsia="es-ES_tradnl"/>
            </w:rPr>
            <w:t>1</w:t>
          </w:r>
        </w:p>
      </w:tc>
    </w:tr>
  </w:tbl>
  <w:p w:rsidR="00303605" w:rsidRDefault="007C64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466" w:rsidRDefault="007C6466" w:rsidP="00E77326">
      <w:pPr>
        <w:spacing w:after="0" w:line="240" w:lineRule="auto"/>
      </w:pPr>
      <w:r>
        <w:separator/>
      </w:r>
    </w:p>
  </w:footnote>
  <w:footnote w:type="continuationSeparator" w:id="0">
    <w:p w:rsidR="007C6466" w:rsidRDefault="007C6466" w:rsidP="00E77326">
      <w:pPr>
        <w:spacing w:after="0" w:line="240" w:lineRule="auto"/>
      </w:pPr>
      <w:r>
        <w:continuationSeparator/>
      </w:r>
    </w:p>
  </w:footnote>
  <w:footnote w:id="1">
    <w:p w:rsidR="00077EE4" w:rsidRPr="002F4414" w:rsidRDefault="00077EE4" w:rsidP="00077EE4">
      <w:pPr>
        <w:pStyle w:val="Textonotapie"/>
        <w:rPr>
          <w:lang w:val="es-CO"/>
        </w:rPr>
      </w:pPr>
      <w:r>
        <w:rPr>
          <w:rStyle w:val="Refdenotaalpie"/>
        </w:rPr>
        <w:footnoteRef/>
      </w:r>
      <w:r>
        <w:t xml:space="preserve"> </w:t>
      </w:r>
      <w:r>
        <w:rPr>
          <w:rFonts w:ascii="Arial Narrow" w:hAnsi="Arial Narrow"/>
          <w:color w:val="201F1E"/>
          <w:sz w:val="16"/>
          <w:szCs w:val="16"/>
          <w:shd w:val="clear" w:color="auto" w:fill="FFFFFF"/>
        </w:rPr>
        <w:t>Sentencia del 17 de enero de 2012, Consejo de Estado, Sala Plena de lo Contencioso Administrativo. C.P. Carmen Teresa Ortiz de Rodríguez. Radicación No. 110010315000 201100615 00. Y Corte Constitucional, sentencia C-790 de 2006</w:t>
      </w:r>
    </w:p>
  </w:footnote>
  <w:footnote w:id="2">
    <w:p w:rsidR="00077EE4" w:rsidRPr="002F7FA3" w:rsidRDefault="00077EE4" w:rsidP="00077EE4">
      <w:pPr>
        <w:pStyle w:val="Textonotapie"/>
        <w:rPr>
          <w:rFonts w:ascii="Arial" w:hAnsi="Arial" w:cs="Arial"/>
          <w:sz w:val="16"/>
          <w:szCs w:val="16"/>
          <w:lang w:val="es-CO"/>
        </w:rPr>
      </w:pPr>
      <w:r w:rsidRPr="002F7FA3">
        <w:rPr>
          <w:rStyle w:val="Refdenotaalpie"/>
          <w:rFonts w:ascii="Arial" w:hAnsi="Arial" w:cs="Arial"/>
          <w:sz w:val="16"/>
          <w:szCs w:val="16"/>
        </w:rPr>
        <w:footnoteRef/>
      </w:r>
      <w:r w:rsidRPr="002F7FA3">
        <w:rPr>
          <w:rFonts w:ascii="Arial" w:hAnsi="Arial" w:cs="Arial"/>
          <w:sz w:val="16"/>
          <w:szCs w:val="16"/>
        </w:rPr>
        <w:t xml:space="preserve"> </w:t>
      </w:r>
      <w:r w:rsidRPr="002F7FA3">
        <w:rPr>
          <w:rFonts w:ascii="Arial" w:hAnsi="Arial" w:cs="Arial"/>
          <w:color w:val="201F1E"/>
          <w:sz w:val="16"/>
          <w:szCs w:val="16"/>
          <w:shd w:val="clear" w:color="auto" w:fill="FFFFFF"/>
        </w:rPr>
        <w:t>PARRA QUIJANO, Jairo. “Manual de derecho probatorio”, Ediciones Librería El Profesional, Décima primera edición 2000. Página 109.</w:t>
      </w:r>
    </w:p>
  </w:footnote>
  <w:footnote w:id="3">
    <w:p w:rsidR="00077EE4" w:rsidRPr="002F7FA3" w:rsidRDefault="00077EE4" w:rsidP="00077EE4">
      <w:pPr>
        <w:pStyle w:val="Textonotapie"/>
        <w:rPr>
          <w:i/>
          <w:lang w:val="es-CO"/>
        </w:rPr>
      </w:pPr>
      <w:r w:rsidRPr="002F7FA3">
        <w:rPr>
          <w:rStyle w:val="Refdenotaalpie"/>
          <w:rFonts w:ascii="Arial" w:hAnsi="Arial" w:cs="Arial"/>
          <w:sz w:val="16"/>
          <w:szCs w:val="16"/>
        </w:rPr>
        <w:footnoteRef/>
      </w:r>
      <w:r w:rsidRPr="002F7FA3">
        <w:rPr>
          <w:rFonts w:ascii="Arial" w:hAnsi="Arial" w:cs="Arial"/>
          <w:sz w:val="16"/>
          <w:szCs w:val="16"/>
        </w:rPr>
        <w:t xml:space="preserve"> </w:t>
      </w:r>
      <w:r w:rsidRPr="002F7FA3">
        <w:rPr>
          <w:rFonts w:ascii="Arial" w:hAnsi="Arial" w:cs="Arial"/>
          <w:i/>
          <w:sz w:val="16"/>
          <w:szCs w:val="16"/>
          <w:lang w:val="es-CO"/>
        </w:rPr>
        <w:t>Ibídem.</w:t>
      </w:r>
      <w:r>
        <w:rPr>
          <w:i/>
          <w:lang w:val="es-CO"/>
        </w:rPr>
        <w:t xml:space="preserve"> </w:t>
      </w:r>
    </w:p>
  </w:footnote>
  <w:footnote w:id="4">
    <w:p w:rsidR="00077EE4" w:rsidRPr="002F7FA3" w:rsidRDefault="00077EE4" w:rsidP="00077EE4">
      <w:pPr>
        <w:pStyle w:val="Textonotapie"/>
        <w:rPr>
          <w:rFonts w:ascii="Arial" w:hAnsi="Arial" w:cs="Arial"/>
          <w:sz w:val="16"/>
          <w:szCs w:val="16"/>
          <w:lang w:val="es-CO"/>
        </w:rPr>
      </w:pPr>
      <w:r w:rsidRPr="002F7FA3">
        <w:rPr>
          <w:rStyle w:val="Refdenotaalpie"/>
          <w:rFonts w:ascii="Arial" w:hAnsi="Arial" w:cs="Arial"/>
          <w:sz w:val="16"/>
          <w:szCs w:val="16"/>
        </w:rPr>
        <w:footnoteRef/>
      </w:r>
      <w:r w:rsidRPr="002F7FA3">
        <w:rPr>
          <w:rFonts w:ascii="Arial" w:hAnsi="Arial" w:cs="Arial"/>
          <w:sz w:val="16"/>
          <w:szCs w:val="16"/>
        </w:rPr>
        <w:t xml:space="preserve"> </w:t>
      </w:r>
      <w:r w:rsidRPr="002F7FA3">
        <w:rPr>
          <w:rFonts w:ascii="Arial" w:hAnsi="Arial" w:cs="Arial"/>
          <w:color w:val="201F1E"/>
          <w:sz w:val="16"/>
          <w:szCs w:val="16"/>
          <w:shd w:val="clear" w:color="auto" w:fill="FFFFFF"/>
        </w:rPr>
        <w:t>Procuraduría Primera Delegada para la Vigilancia Administrativa. Recurso de apelación contra el auto que niega algunas pruebas. Radicación: 093-09138-04. Bogotá DC, 8 de septiembre de 2006.</w:t>
      </w:r>
    </w:p>
  </w:footnote>
  <w:footnote w:id="5">
    <w:p w:rsidR="00077EE4" w:rsidRPr="002F7FA3" w:rsidRDefault="00077EE4" w:rsidP="00077EE4">
      <w:pPr>
        <w:pStyle w:val="Textonotapie"/>
        <w:rPr>
          <w:lang w:val="es-CO"/>
        </w:rPr>
      </w:pPr>
      <w:r w:rsidRPr="002F7FA3">
        <w:rPr>
          <w:rStyle w:val="Refdenotaalpie"/>
          <w:rFonts w:ascii="Arial" w:hAnsi="Arial" w:cs="Arial"/>
          <w:sz w:val="16"/>
          <w:szCs w:val="16"/>
        </w:rPr>
        <w:footnoteRef/>
      </w:r>
      <w:r w:rsidRPr="002F7FA3">
        <w:rPr>
          <w:rFonts w:ascii="Arial" w:hAnsi="Arial" w:cs="Arial"/>
          <w:sz w:val="16"/>
          <w:szCs w:val="16"/>
        </w:rPr>
        <w:t xml:space="preserve"> </w:t>
      </w:r>
      <w:r w:rsidRPr="002F7FA3">
        <w:rPr>
          <w:rFonts w:ascii="Arial" w:hAnsi="Arial" w:cs="Arial"/>
          <w:sz w:val="16"/>
          <w:szCs w:val="16"/>
          <w:lang w:val="es-CO"/>
        </w:rPr>
        <w:t>Corte Suprema de Justicia. Sala de Casación Penal. Sentencia de junio 30 de 1998, M.P. Dr. Jorge Aníbal Gómez Gallego. Publicada en Jurisprudencia Penal primer semestre de 1998. Editora Jurídica.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05" w:rsidRDefault="00DE4FF7" w:rsidP="003036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605" w:rsidRDefault="007C6466" w:rsidP="0030360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605" w:rsidRDefault="007C6466">
    <w:pPr>
      <w:pStyle w:val="Encabezado"/>
      <w:rPr>
        <w:sz w:val="2"/>
        <w:szCs w:val="2"/>
      </w:rPr>
    </w:pPr>
  </w:p>
  <w:p w:rsidR="00303605" w:rsidRDefault="007C6466">
    <w:pPr>
      <w:pStyle w:val="Encabezado"/>
      <w:rPr>
        <w:sz w:val="2"/>
        <w:szCs w:val="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3301"/>
      <w:gridCol w:w="3402"/>
    </w:tblGrid>
    <w:tr w:rsidR="006B0565" w:rsidRPr="0054098D" w:rsidTr="00253FCE">
      <w:trPr>
        <w:trHeight w:val="1695"/>
      </w:trPr>
      <w:tc>
        <w:tcPr>
          <w:tcW w:w="2720" w:type="dxa"/>
          <w:shd w:val="clear" w:color="auto" w:fill="auto"/>
        </w:tcPr>
        <w:p w:rsidR="006B0565" w:rsidRPr="0054098D" w:rsidRDefault="006B0565" w:rsidP="006B0565">
          <w:r w:rsidRPr="003831F0">
            <w:rPr>
              <w:rFonts w:ascii="Arial" w:hAnsi="Arial" w:cs="Arial"/>
              <w:b/>
              <w:noProof/>
              <w:sz w:val="2"/>
              <w:szCs w:val="2"/>
              <w:lang w:val="es-MX"/>
            </w:rPr>
            <w:drawing>
              <wp:inline distT="0" distB="0" distL="0" distR="0" wp14:anchorId="1188E1B0" wp14:editId="4B46EA30">
                <wp:extent cx="1638300" cy="1054100"/>
                <wp:effectExtent l="0" t="0" r="0" b="0"/>
                <wp:docPr id="3" name="Imagen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54100"/>
                        </a:xfrm>
                        <a:prstGeom prst="rect">
                          <a:avLst/>
                        </a:prstGeom>
                        <a:noFill/>
                        <a:ln>
                          <a:noFill/>
                        </a:ln>
                      </pic:spPr>
                    </pic:pic>
                  </a:graphicData>
                </a:graphic>
              </wp:inline>
            </w:drawing>
          </w:r>
        </w:p>
      </w:tc>
      <w:tc>
        <w:tcPr>
          <w:tcW w:w="3301" w:type="dxa"/>
          <w:shd w:val="clear" w:color="auto" w:fill="auto"/>
        </w:tcPr>
        <w:p w:rsidR="006B0565" w:rsidRPr="00322B9C" w:rsidRDefault="006B0565" w:rsidP="006B0565">
          <w:pPr>
            <w:pStyle w:val="Sinespaciado"/>
            <w:jc w:val="center"/>
            <w:rPr>
              <w:rFonts w:ascii="Arial" w:hAnsi="Arial" w:cs="Arial"/>
              <w:b/>
              <w:sz w:val="22"/>
              <w:szCs w:val="22"/>
              <w:lang w:val="es-CO"/>
            </w:rPr>
          </w:pPr>
        </w:p>
        <w:p w:rsidR="006B0565" w:rsidRPr="00322B9C" w:rsidRDefault="006B0565" w:rsidP="006B0565">
          <w:pPr>
            <w:pStyle w:val="Sinespaciado"/>
            <w:rPr>
              <w:rFonts w:ascii="Arial" w:hAnsi="Arial" w:cs="Arial"/>
              <w:b/>
              <w:sz w:val="22"/>
              <w:szCs w:val="22"/>
              <w:lang w:val="es-CO"/>
            </w:rPr>
          </w:pPr>
        </w:p>
        <w:p w:rsidR="00077EE4" w:rsidRDefault="006B0565" w:rsidP="000B3DA9">
          <w:pPr>
            <w:spacing w:after="0" w:line="240" w:lineRule="auto"/>
            <w:ind w:right="68"/>
            <w:jc w:val="center"/>
            <w:rPr>
              <w:rFonts w:ascii="Arial" w:hAnsi="Arial" w:cs="Arial"/>
              <w:b/>
              <w:iCs/>
            </w:rPr>
          </w:pPr>
          <w:r w:rsidRPr="000F408E">
            <w:rPr>
              <w:rFonts w:ascii="Arial" w:hAnsi="Arial" w:cs="Arial"/>
              <w:b/>
            </w:rPr>
            <w:t xml:space="preserve"> </w:t>
          </w:r>
          <w:r>
            <w:rPr>
              <w:rFonts w:ascii="Arial" w:hAnsi="Arial" w:cs="Arial"/>
              <w:b/>
            </w:rPr>
            <w:t xml:space="preserve"> </w:t>
          </w:r>
          <w:r w:rsidR="00077EE4" w:rsidRPr="000F408E">
            <w:rPr>
              <w:rFonts w:ascii="Arial" w:hAnsi="Arial" w:cs="Arial"/>
              <w:b/>
            </w:rPr>
            <w:t xml:space="preserve"> </w:t>
          </w:r>
          <w:r w:rsidR="00077EE4">
            <w:rPr>
              <w:rFonts w:ascii="Arial" w:hAnsi="Arial" w:cs="Arial"/>
              <w:b/>
            </w:rPr>
            <w:t>AUTO QUE RESUELVE UNA TACHA A TESTIGOS Y SE DECRETAN PRUEBAS</w:t>
          </w:r>
        </w:p>
        <w:p w:rsidR="006B0565" w:rsidRPr="00077EE4" w:rsidRDefault="006B0565" w:rsidP="006B0565">
          <w:pPr>
            <w:pStyle w:val="Sinespaciado"/>
            <w:jc w:val="center"/>
            <w:rPr>
              <w:rFonts w:ascii="Arial" w:hAnsi="Arial"/>
              <w:b/>
              <w:sz w:val="20"/>
              <w:szCs w:val="20"/>
              <w:lang w:val="es-CO"/>
            </w:rPr>
          </w:pPr>
        </w:p>
      </w:tc>
      <w:tc>
        <w:tcPr>
          <w:tcW w:w="3402" w:type="dxa"/>
          <w:shd w:val="clear" w:color="auto" w:fill="auto"/>
        </w:tcPr>
        <w:p w:rsidR="006B0565" w:rsidRPr="00E07ED1" w:rsidRDefault="006B0565" w:rsidP="006B0565">
          <w:pPr>
            <w:pStyle w:val="Sinespaciado"/>
            <w:rPr>
              <w:rFonts w:ascii="Arial" w:hAnsi="Arial" w:cs="Arial"/>
              <w:b/>
              <w:sz w:val="6"/>
              <w:szCs w:val="6"/>
              <w:lang w:val="es-CO"/>
            </w:rPr>
          </w:pPr>
        </w:p>
        <w:p w:rsidR="006B0565" w:rsidRPr="00E07ED1" w:rsidRDefault="006B0565" w:rsidP="006B0565">
          <w:pPr>
            <w:pStyle w:val="Sinespaciado"/>
            <w:rPr>
              <w:rFonts w:ascii="Arial" w:hAnsi="Arial" w:cs="Arial"/>
              <w:b/>
              <w:sz w:val="6"/>
              <w:szCs w:val="6"/>
              <w:lang w:val="es-CO"/>
            </w:rPr>
          </w:pPr>
        </w:p>
        <w:p w:rsidR="006B0565" w:rsidRPr="00E07ED1" w:rsidRDefault="006B0565" w:rsidP="006B0565">
          <w:pPr>
            <w:pStyle w:val="Sinespaciado"/>
            <w:rPr>
              <w:rFonts w:ascii="Arial" w:hAnsi="Arial" w:cs="Arial"/>
              <w:b/>
              <w:sz w:val="20"/>
              <w:szCs w:val="20"/>
              <w:lang w:val="es-CO"/>
            </w:rPr>
          </w:pPr>
          <w:r w:rsidRPr="00E07ED1">
            <w:rPr>
              <w:rFonts w:ascii="Arial" w:hAnsi="Arial" w:cs="Arial"/>
              <w:b/>
              <w:sz w:val="20"/>
              <w:szCs w:val="20"/>
              <w:lang w:val="es-CO"/>
            </w:rPr>
            <w:t>CÓDIGO:   GCD-FO-</w:t>
          </w:r>
          <w:r w:rsidR="00077EE4">
            <w:rPr>
              <w:rFonts w:ascii="Arial" w:hAnsi="Arial" w:cs="Arial"/>
              <w:b/>
              <w:sz w:val="20"/>
              <w:szCs w:val="20"/>
              <w:lang w:val="es-CO"/>
            </w:rPr>
            <w:t>67</w:t>
          </w:r>
        </w:p>
        <w:p w:rsidR="006B0565" w:rsidRPr="00E07ED1" w:rsidRDefault="006B0565" w:rsidP="006B0565">
          <w:pPr>
            <w:pStyle w:val="Sinespaciado"/>
            <w:rPr>
              <w:rFonts w:ascii="Arial" w:hAnsi="Arial" w:cs="Arial"/>
              <w:b/>
              <w:sz w:val="14"/>
              <w:szCs w:val="14"/>
              <w:lang w:val="es-CO"/>
            </w:rPr>
          </w:pPr>
        </w:p>
        <w:p w:rsidR="006B0565" w:rsidRPr="00E07ED1" w:rsidRDefault="006B0565" w:rsidP="006B0565">
          <w:pPr>
            <w:pStyle w:val="Sinespaciado"/>
            <w:rPr>
              <w:rFonts w:ascii="Arial" w:hAnsi="Arial" w:cs="Arial"/>
              <w:b/>
              <w:sz w:val="20"/>
              <w:szCs w:val="20"/>
              <w:lang w:val="es-CO"/>
            </w:rPr>
          </w:pPr>
          <w:r w:rsidRPr="00E07ED1">
            <w:rPr>
              <w:rFonts w:ascii="Arial" w:hAnsi="Arial" w:cs="Arial"/>
              <w:b/>
              <w:sz w:val="20"/>
              <w:szCs w:val="20"/>
              <w:lang w:val="es-CO"/>
            </w:rPr>
            <w:t xml:space="preserve">VERSIÓN:  </w:t>
          </w:r>
          <w:r>
            <w:rPr>
              <w:rFonts w:ascii="Arial" w:hAnsi="Arial" w:cs="Arial"/>
              <w:b/>
              <w:sz w:val="20"/>
              <w:szCs w:val="20"/>
              <w:lang w:val="es-CO"/>
            </w:rPr>
            <w:t>1</w:t>
          </w:r>
        </w:p>
        <w:p w:rsidR="006B0565" w:rsidRPr="00E07ED1" w:rsidRDefault="006B0565" w:rsidP="006B0565">
          <w:pPr>
            <w:pStyle w:val="Sinespaciado"/>
            <w:rPr>
              <w:rFonts w:ascii="Arial" w:hAnsi="Arial" w:cs="Arial"/>
              <w:b/>
              <w:sz w:val="14"/>
              <w:szCs w:val="14"/>
              <w:lang w:val="es-CO"/>
            </w:rPr>
          </w:pPr>
        </w:p>
        <w:p w:rsidR="006B0565" w:rsidRPr="0054098D" w:rsidRDefault="006B0565" w:rsidP="006B0565">
          <w:pPr>
            <w:tabs>
              <w:tab w:val="left" w:pos="141"/>
              <w:tab w:val="left" w:pos="1700"/>
            </w:tabs>
            <w:rPr>
              <w:rFonts w:ascii="Arial" w:hAnsi="Arial" w:cs="Arial"/>
              <w:b/>
              <w:sz w:val="20"/>
              <w:szCs w:val="20"/>
              <w:lang w:val="es-MX"/>
            </w:rPr>
          </w:pPr>
          <w:r w:rsidRPr="0054098D">
            <w:rPr>
              <w:rFonts w:ascii="Arial" w:hAnsi="Arial" w:cs="Arial"/>
              <w:b/>
              <w:sz w:val="20"/>
              <w:szCs w:val="20"/>
              <w:lang w:val="es-MX"/>
            </w:rPr>
            <w:t xml:space="preserve">VIGENCIA: </w:t>
          </w:r>
          <w:r>
            <w:rPr>
              <w:rFonts w:ascii="Arial" w:hAnsi="Arial" w:cs="Arial"/>
              <w:b/>
              <w:sz w:val="20"/>
              <w:szCs w:val="20"/>
              <w:lang w:val="es-MX"/>
            </w:rPr>
            <w:t>FEBRERO 24</w:t>
          </w:r>
          <w:r w:rsidRPr="0054098D">
            <w:rPr>
              <w:rFonts w:ascii="Arial" w:hAnsi="Arial" w:cs="Arial"/>
              <w:b/>
              <w:sz w:val="20"/>
              <w:szCs w:val="20"/>
              <w:lang w:val="es-MX"/>
            </w:rPr>
            <w:t xml:space="preserve"> DE 2020 </w:t>
          </w:r>
        </w:p>
        <w:sdt>
          <w:sdtPr>
            <w:rPr>
              <w:rFonts w:ascii="Arial" w:hAnsi="Arial" w:cs="Arial"/>
              <w:sz w:val="20"/>
              <w:szCs w:val="20"/>
            </w:rPr>
            <w:id w:val="-1053387679"/>
            <w:docPartObj>
              <w:docPartGallery w:val="Page Numbers (Top of Page)"/>
              <w:docPartUnique/>
            </w:docPartObj>
          </w:sdtPr>
          <w:sdtContent>
            <w:p w:rsidR="006B0565" w:rsidRPr="0054098D" w:rsidRDefault="006B0565" w:rsidP="006B0565">
              <w:pPr>
                <w:tabs>
                  <w:tab w:val="left" w:pos="141"/>
                  <w:tab w:val="left" w:pos="1700"/>
                </w:tabs>
                <w:rPr>
                  <w:rFonts w:ascii="Arial" w:hAnsi="Arial" w:cs="Arial"/>
                  <w:sz w:val="20"/>
                  <w:szCs w:val="20"/>
                </w:rPr>
              </w:pPr>
              <w:r w:rsidRPr="004A0B8F">
                <w:rPr>
                  <w:rFonts w:ascii="Arial" w:hAnsi="Arial" w:cs="Arial"/>
                  <w:b/>
                  <w:sz w:val="20"/>
                  <w:szCs w:val="20"/>
                  <w:lang w:val="es-ES"/>
                </w:rPr>
                <w:t xml:space="preserve">PÁGINA: </w:t>
              </w:r>
              <w:r>
                <w:rPr>
                  <w:rFonts w:ascii="Arial" w:hAnsi="Arial" w:cs="Arial"/>
                  <w:b/>
                  <w:sz w:val="20"/>
                  <w:szCs w:val="20"/>
                  <w:lang w:val="es-ES"/>
                </w:rPr>
                <w:t xml:space="preserve">   </w:t>
              </w:r>
              <w:r w:rsidRPr="004A0B8F">
                <w:rPr>
                  <w:rFonts w:ascii="Arial" w:hAnsi="Arial" w:cs="Arial"/>
                  <w:b/>
                  <w:sz w:val="20"/>
                  <w:szCs w:val="20"/>
                  <w:lang w:val="es-ES"/>
                </w:rPr>
                <w:t xml:space="preserve"> </w:t>
              </w:r>
              <w:r w:rsidRPr="004A0B8F">
                <w:rPr>
                  <w:rFonts w:ascii="Arial" w:hAnsi="Arial" w:cs="Arial"/>
                  <w:b/>
                  <w:bCs/>
                  <w:sz w:val="20"/>
                  <w:szCs w:val="20"/>
                </w:rPr>
                <w:fldChar w:fldCharType="begin"/>
              </w:r>
              <w:r w:rsidRPr="004A0B8F">
                <w:rPr>
                  <w:rFonts w:ascii="Arial" w:hAnsi="Arial" w:cs="Arial"/>
                  <w:b/>
                  <w:bCs/>
                  <w:sz w:val="20"/>
                  <w:szCs w:val="20"/>
                </w:rPr>
                <w:instrText>PAGE</w:instrText>
              </w:r>
              <w:r w:rsidRPr="004A0B8F">
                <w:rPr>
                  <w:rFonts w:ascii="Arial" w:hAnsi="Arial" w:cs="Arial"/>
                  <w:b/>
                  <w:bCs/>
                  <w:sz w:val="20"/>
                  <w:szCs w:val="20"/>
                </w:rPr>
                <w:fldChar w:fldCharType="separate"/>
              </w:r>
              <w:r w:rsidRPr="004A0B8F">
                <w:rPr>
                  <w:rFonts w:ascii="Arial" w:hAnsi="Arial" w:cs="Arial"/>
                  <w:b/>
                  <w:bCs/>
                  <w:noProof/>
                  <w:sz w:val="20"/>
                  <w:szCs w:val="20"/>
                </w:rPr>
                <w:t>1</w:t>
              </w:r>
              <w:r w:rsidRPr="004A0B8F">
                <w:rPr>
                  <w:rFonts w:ascii="Arial" w:hAnsi="Arial" w:cs="Arial"/>
                  <w:b/>
                  <w:sz w:val="20"/>
                  <w:szCs w:val="20"/>
                </w:rPr>
                <w:fldChar w:fldCharType="end"/>
              </w:r>
              <w:r w:rsidRPr="004A0B8F">
                <w:rPr>
                  <w:rFonts w:ascii="Arial" w:hAnsi="Arial" w:cs="Arial"/>
                  <w:b/>
                  <w:sz w:val="20"/>
                  <w:szCs w:val="20"/>
                  <w:lang w:val="es-ES"/>
                </w:rPr>
                <w:t xml:space="preserve"> de </w:t>
              </w:r>
              <w:r w:rsidRPr="004A0B8F">
                <w:rPr>
                  <w:rFonts w:ascii="Arial" w:hAnsi="Arial" w:cs="Arial"/>
                  <w:b/>
                  <w:bCs/>
                  <w:sz w:val="20"/>
                  <w:szCs w:val="20"/>
                </w:rPr>
                <w:fldChar w:fldCharType="begin"/>
              </w:r>
              <w:r w:rsidRPr="004A0B8F">
                <w:rPr>
                  <w:rFonts w:ascii="Arial" w:hAnsi="Arial" w:cs="Arial"/>
                  <w:b/>
                  <w:bCs/>
                  <w:sz w:val="20"/>
                  <w:szCs w:val="20"/>
                </w:rPr>
                <w:instrText>NUMPAGES</w:instrText>
              </w:r>
              <w:r w:rsidRPr="004A0B8F">
                <w:rPr>
                  <w:rFonts w:ascii="Arial" w:hAnsi="Arial" w:cs="Arial"/>
                  <w:b/>
                  <w:bCs/>
                  <w:sz w:val="20"/>
                  <w:szCs w:val="20"/>
                </w:rPr>
                <w:fldChar w:fldCharType="separate"/>
              </w:r>
              <w:r w:rsidRPr="004A0B8F">
                <w:rPr>
                  <w:rFonts w:ascii="Arial" w:hAnsi="Arial" w:cs="Arial"/>
                  <w:b/>
                  <w:bCs/>
                  <w:noProof/>
                  <w:sz w:val="20"/>
                  <w:szCs w:val="20"/>
                </w:rPr>
                <w:t>3</w:t>
              </w:r>
              <w:r w:rsidRPr="004A0B8F">
                <w:rPr>
                  <w:rFonts w:ascii="Arial" w:hAnsi="Arial" w:cs="Arial"/>
                  <w:b/>
                  <w:sz w:val="20"/>
                  <w:szCs w:val="20"/>
                </w:rPr>
                <w:fldChar w:fldCharType="end"/>
              </w:r>
            </w:p>
          </w:sdtContent>
        </w:sdt>
      </w:tc>
    </w:tr>
  </w:tbl>
  <w:p w:rsidR="006B0565" w:rsidRPr="00E07ED1" w:rsidRDefault="006B0565">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5C6"/>
    <w:multiLevelType w:val="hybridMultilevel"/>
    <w:tmpl w:val="340AF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400A7E"/>
    <w:multiLevelType w:val="hybridMultilevel"/>
    <w:tmpl w:val="B220F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918971"/>
    <w:multiLevelType w:val="hybridMultilevel"/>
    <w:tmpl w:val="AE881D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1E07FB"/>
    <w:multiLevelType w:val="hybridMultilevel"/>
    <w:tmpl w:val="D8061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571B40"/>
    <w:multiLevelType w:val="multilevel"/>
    <w:tmpl w:val="A01CCF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26"/>
    <w:rsid w:val="00007728"/>
    <w:rsid w:val="00077EE4"/>
    <w:rsid w:val="000B3DA9"/>
    <w:rsid w:val="00116FFC"/>
    <w:rsid w:val="001259C4"/>
    <w:rsid w:val="00253FCE"/>
    <w:rsid w:val="00582A6B"/>
    <w:rsid w:val="005A3572"/>
    <w:rsid w:val="006B0565"/>
    <w:rsid w:val="007C6466"/>
    <w:rsid w:val="009219F8"/>
    <w:rsid w:val="00AC1676"/>
    <w:rsid w:val="00BA4683"/>
    <w:rsid w:val="00DE4FF7"/>
    <w:rsid w:val="00E77326"/>
    <w:rsid w:val="00F164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317B0"/>
  <w15:chartTrackingRefBased/>
  <w15:docId w15:val="{F57EBC3A-1E42-415F-A62D-15B8DA59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26"/>
    <w:rPr>
      <w:rFonts w:ascii="Cambria" w:eastAsia="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326"/>
    <w:rPr>
      <w:rFonts w:ascii="Cambria" w:eastAsia="Cambria" w:hAnsi="Cambria" w:cs="Times New Roman"/>
    </w:rPr>
  </w:style>
  <w:style w:type="paragraph" w:styleId="Piedepgina">
    <w:name w:val="footer"/>
    <w:basedOn w:val="Normal"/>
    <w:link w:val="PiedepginaCar"/>
    <w:uiPriority w:val="99"/>
    <w:unhideWhenUsed/>
    <w:rsid w:val="00E77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326"/>
    <w:rPr>
      <w:rFonts w:ascii="Cambria" w:eastAsia="Cambria" w:hAnsi="Cambria" w:cs="Times New Roman"/>
    </w:rPr>
  </w:style>
  <w:style w:type="paragraph" w:styleId="Textoindependiente">
    <w:name w:val="Body Text"/>
    <w:basedOn w:val="Normal"/>
    <w:link w:val="TextoindependienteCar"/>
    <w:uiPriority w:val="99"/>
    <w:semiHidden/>
    <w:unhideWhenUsed/>
    <w:rsid w:val="00E77326"/>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n-US"/>
    </w:rPr>
  </w:style>
  <w:style w:type="character" w:customStyle="1" w:styleId="TextoindependienteCar">
    <w:name w:val="Texto independiente Car"/>
    <w:basedOn w:val="Fuentedeprrafopredeter"/>
    <w:link w:val="Textoindependiente"/>
    <w:uiPriority w:val="99"/>
    <w:semiHidden/>
    <w:rsid w:val="00E77326"/>
    <w:rPr>
      <w:rFonts w:ascii="Times New Roman" w:eastAsia="Arial Unicode MS" w:hAnsi="Times New Roman" w:cs="Times New Roman"/>
      <w:sz w:val="24"/>
      <w:szCs w:val="24"/>
      <w:bdr w:val="nil"/>
      <w:lang w:val="en-US"/>
    </w:rPr>
  </w:style>
  <w:style w:type="paragraph" w:styleId="Sinespaciado">
    <w:name w:val="No Spacing"/>
    <w:uiPriority w:val="1"/>
    <w:qFormat/>
    <w:rsid w:val="00E773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Nmerodepgina">
    <w:name w:val="page number"/>
    <w:basedOn w:val="Fuentedeprrafopredeter"/>
    <w:uiPriority w:val="99"/>
    <w:semiHidden/>
    <w:unhideWhenUsed/>
    <w:rsid w:val="00E77326"/>
  </w:style>
  <w:style w:type="paragraph" w:styleId="Prrafodelista">
    <w:name w:val="List Paragraph"/>
    <w:basedOn w:val="Normal"/>
    <w:uiPriority w:val="34"/>
    <w:qFormat/>
    <w:rsid w:val="00E77326"/>
    <w:pPr>
      <w:ind w:left="720"/>
      <w:contextualSpacing/>
    </w:pPr>
  </w:style>
  <w:style w:type="paragraph" w:styleId="Textonotapie">
    <w:name w:val="footnote text"/>
    <w:aliases w:val="Car,Footnote Text Char Char Char Char Char,Footnote Text Char Char Char Char,Footnote reference,FA Fu,Footnote Text Cha,Footnote Text Char Char Char,FA Fußnotentext,FA Fuﬂnotentext,Footnote Text Char Char,texto de nota al pie"/>
    <w:basedOn w:val="Normal"/>
    <w:link w:val="TextonotapieCar"/>
    <w:unhideWhenUsed/>
    <w:rsid w:val="00E77326"/>
    <w:pPr>
      <w:spacing w:after="0" w:line="240" w:lineRule="auto"/>
    </w:pPr>
    <w:rPr>
      <w:rFonts w:eastAsia="MS Mincho"/>
      <w:sz w:val="20"/>
      <w:szCs w:val="20"/>
      <w:lang w:val="es-ES_tradnl"/>
    </w:rPr>
  </w:style>
  <w:style w:type="character" w:customStyle="1" w:styleId="TextonotapieCar">
    <w:name w:val="Texto nota pie Car"/>
    <w:aliases w:val="Car Car,Footnote Text Char Char Char Char Char Car,Footnote Text Char Char Char Char Car,Footnote reference Car,FA Fu Car,Footnote Text Cha Car,Footnote Text Char Char Char Car,FA Fußnotentext Car,FA Fuﬂnotentext Car"/>
    <w:basedOn w:val="Fuentedeprrafopredeter"/>
    <w:link w:val="Textonotapie"/>
    <w:rsid w:val="00E77326"/>
    <w:rPr>
      <w:rFonts w:ascii="Cambria" w:eastAsia="MS Mincho" w:hAnsi="Cambria" w:cs="Times New Roman"/>
      <w:sz w:val="20"/>
      <w:szCs w:val="20"/>
      <w:lang w:val="es-ES_tradnl"/>
    </w:rPr>
  </w:style>
  <w:style w:type="character" w:styleId="Refdenotaalpie">
    <w:name w:val="footnote reference"/>
    <w:aliases w:val="Ref. de nota al pie 2,Pie de Página,FC,Texto de nota al pie,texto de nota al pie Car Car Car2,referencia nota al pie,BVI fnr,Ref. de nota al pie2,Nota de pie,Ref,de nota al pie,Footnote symbol,Footnote,Pie de pagina, de nota al pie"/>
    <w:unhideWhenUsed/>
    <w:rsid w:val="00E77326"/>
    <w:rPr>
      <w:vertAlign w:val="superscript"/>
    </w:rPr>
  </w:style>
  <w:style w:type="paragraph" w:customStyle="1" w:styleId="Textoindependiente21">
    <w:name w:val="Texto independiente 21"/>
    <w:basedOn w:val="Normal"/>
    <w:rsid w:val="00E77326"/>
    <w:pPr>
      <w:spacing w:after="0" w:line="240" w:lineRule="auto"/>
      <w:jc w:val="both"/>
    </w:pPr>
    <w:rPr>
      <w:rFonts w:ascii="Arial" w:eastAsia="Times New Roman" w:hAnsi="Arial"/>
      <w:sz w:val="28"/>
      <w:szCs w:val="20"/>
      <w:lang w:val="es-MX" w:eastAsia="es-ES"/>
    </w:rPr>
  </w:style>
  <w:style w:type="character" w:styleId="Hipervnculo">
    <w:name w:val="Hyperlink"/>
    <w:basedOn w:val="Fuentedeprrafopredeter"/>
    <w:uiPriority w:val="99"/>
    <w:unhideWhenUsed/>
    <w:rsid w:val="00E77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2193</Words>
  <Characters>12062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Asuntos Disciplinarios</dc:creator>
  <cp:keywords/>
  <dc:description/>
  <cp:lastModifiedBy>Calidad ETITC</cp:lastModifiedBy>
  <cp:revision>3</cp:revision>
  <cp:lastPrinted>2021-02-24T20:23:00Z</cp:lastPrinted>
  <dcterms:created xsi:type="dcterms:W3CDTF">2021-02-24T20:29:00Z</dcterms:created>
  <dcterms:modified xsi:type="dcterms:W3CDTF">2021-02-24T20:30:00Z</dcterms:modified>
</cp:coreProperties>
</file>